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24"/>
        </w:rPr>
      </w:pPr>
    </w:p>
    <w:p>
      <w:pPr>
        <w:spacing w:line="360" w:lineRule="auto"/>
        <w:jc w:val="center"/>
        <w:rPr>
          <w:rFonts w:ascii="宋体" w:hAnsi="宋体" w:cs="宋体"/>
          <w:b/>
          <w:sz w:val="24"/>
        </w:rPr>
      </w:pPr>
    </w:p>
    <w:p>
      <w:pPr>
        <w:adjustRightInd/>
        <w:spacing w:line="360" w:lineRule="auto"/>
        <w:jc w:val="center"/>
        <w:rPr>
          <w:rFonts w:ascii="宋体" w:hAnsi="宋体" w:cs="宋体"/>
          <w:sz w:val="48"/>
          <w:szCs w:val="48"/>
        </w:rPr>
      </w:pPr>
    </w:p>
    <w:p>
      <w:pPr>
        <w:adjustRightInd/>
        <w:spacing w:line="360" w:lineRule="auto"/>
        <w:jc w:val="center"/>
        <w:rPr>
          <w:rFonts w:ascii="宋体" w:hAnsi="宋体" w:cs="宋体"/>
          <w:sz w:val="48"/>
          <w:szCs w:val="48"/>
        </w:rPr>
      </w:pPr>
      <w:r>
        <w:rPr>
          <w:rFonts w:hint="eastAsia" w:ascii="宋体" w:hAnsi="宋体" w:cs="宋体"/>
          <w:sz w:val="48"/>
          <w:szCs w:val="48"/>
        </w:rPr>
        <w:t>嘉兴技师学院一体化可视设备采购项目</w:t>
      </w:r>
    </w:p>
    <w:p>
      <w:pPr>
        <w:adjustRightInd/>
        <w:spacing w:line="360" w:lineRule="auto"/>
        <w:jc w:val="center"/>
        <w:rPr>
          <w:rFonts w:ascii="宋体" w:hAnsi="宋体" w:cs="宋体"/>
          <w:sz w:val="48"/>
          <w:szCs w:val="48"/>
        </w:rPr>
      </w:pPr>
      <w:r>
        <w:rPr>
          <w:rFonts w:hint="eastAsia" w:ascii="宋体" w:hAnsi="宋体" w:cs="宋体"/>
          <w:sz w:val="48"/>
          <w:szCs w:val="48"/>
        </w:rPr>
        <w:t>招标文件</w:t>
      </w:r>
    </w:p>
    <w:p>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pPr>
        <w:pStyle w:val="80"/>
      </w:pPr>
    </w:p>
    <w:p>
      <w:pPr>
        <w:snapToGrid w:val="0"/>
        <w:spacing w:line="360" w:lineRule="auto"/>
        <w:jc w:val="center"/>
        <w:rPr>
          <w:rFonts w:ascii="宋体" w:hAnsi="宋体" w:cs="宋体"/>
          <w:sz w:val="28"/>
          <w:szCs w:val="20"/>
        </w:rPr>
      </w:pPr>
      <w:r>
        <w:rPr>
          <w:rFonts w:hint="eastAsia" w:ascii="宋体" w:hAnsi="宋体" w:cs="宋体"/>
          <w:sz w:val="30"/>
          <w:szCs w:val="30"/>
        </w:rPr>
        <w:t>编号:J</w:t>
      </w:r>
      <w:r>
        <w:rPr>
          <w:rFonts w:ascii="宋体" w:hAnsi="宋体" w:cs="宋体"/>
          <w:sz w:val="30"/>
          <w:szCs w:val="30"/>
        </w:rPr>
        <w:t>XSJ-202</w:t>
      </w:r>
      <w:r>
        <w:rPr>
          <w:rFonts w:hint="eastAsia" w:ascii="宋体" w:hAnsi="宋体" w:cs="宋体"/>
          <w:sz w:val="30"/>
          <w:szCs w:val="30"/>
        </w:rPr>
        <w:t>4</w:t>
      </w:r>
      <w:r>
        <w:rPr>
          <w:rFonts w:ascii="宋体" w:hAnsi="宋体" w:cs="宋体"/>
          <w:sz w:val="30"/>
          <w:szCs w:val="30"/>
        </w:rPr>
        <w:t>-</w:t>
      </w:r>
      <w:r>
        <w:rPr>
          <w:rFonts w:hint="eastAsia" w:ascii="宋体" w:hAnsi="宋体" w:cs="宋体"/>
          <w:sz w:val="30"/>
          <w:szCs w:val="30"/>
        </w:rPr>
        <w:t>97</w:t>
      </w: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rPr>
          <w:rFonts w:ascii="宋体" w:hAnsi="宋体" w:cs="宋体"/>
          <w:bCs/>
          <w:sz w:val="32"/>
          <w:szCs w:val="32"/>
        </w:rPr>
      </w:pPr>
    </w:p>
    <w:p>
      <w:pPr>
        <w:snapToGrid w:val="0"/>
        <w:spacing w:line="360" w:lineRule="auto"/>
        <w:ind w:firstLine="640" w:firstLineChars="200"/>
        <w:rPr>
          <w:rFonts w:ascii="宋体" w:hAnsi="宋体" w:cs="宋体"/>
          <w:bCs/>
          <w:sz w:val="32"/>
          <w:szCs w:val="32"/>
        </w:rPr>
      </w:pPr>
      <w:r>
        <w:rPr>
          <w:rFonts w:hint="eastAsia" w:ascii="宋体" w:hAnsi="宋体" w:cs="宋体"/>
          <w:bCs/>
          <w:sz w:val="32"/>
          <w:szCs w:val="32"/>
        </w:rPr>
        <w:t>采购人:嘉兴技师学院</w:t>
      </w:r>
    </w:p>
    <w:p>
      <w:pPr>
        <w:spacing w:line="360" w:lineRule="auto"/>
        <w:jc w:val="center"/>
        <w:rPr>
          <w:rFonts w:ascii="宋体" w:hAnsi="宋体" w:cs="宋体"/>
          <w:bCs/>
          <w:sz w:val="32"/>
          <w:szCs w:val="32"/>
        </w:rPr>
      </w:pPr>
      <w:r>
        <w:rPr>
          <w:rFonts w:hint="eastAsia" w:ascii="宋体" w:hAnsi="宋体" w:cs="宋体"/>
          <w:bCs/>
          <w:sz w:val="32"/>
          <w:szCs w:val="32"/>
        </w:rPr>
        <w:t>采购代理机构：嘉兴市建新工程造价咨询事务所有限公司</w:t>
      </w:r>
    </w:p>
    <w:p>
      <w:pPr>
        <w:snapToGrid w:val="0"/>
        <w:spacing w:line="360" w:lineRule="auto"/>
        <w:jc w:val="center"/>
        <w:rPr>
          <w:rFonts w:ascii="宋体" w:hAnsi="宋体" w:cs="宋体"/>
          <w:bCs/>
          <w:sz w:val="32"/>
          <w:szCs w:val="32"/>
        </w:rPr>
      </w:pPr>
      <w:r>
        <w:rPr>
          <w:rFonts w:hint="eastAsia" w:ascii="宋体" w:hAnsi="宋体" w:cs="宋体"/>
          <w:bCs/>
          <w:sz w:val="32"/>
          <w:szCs w:val="32"/>
        </w:rPr>
        <w:t xml:space="preserve">二〇二四年六月 </w:t>
      </w:r>
    </w:p>
    <w:p>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pPr>
        <w:spacing w:line="360" w:lineRule="auto"/>
        <w:jc w:val="center"/>
        <w:rPr>
          <w:rFonts w:ascii="宋体" w:hAnsi="宋体" w:cs="宋体"/>
          <w:sz w:val="24"/>
        </w:rPr>
      </w:pPr>
    </w:p>
    <w:p>
      <w:pPr>
        <w:spacing w:line="360" w:lineRule="auto"/>
        <w:jc w:val="center"/>
        <w:rPr>
          <w:rFonts w:ascii="宋体" w:hAnsi="宋体" w:cs="宋体"/>
          <w:b/>
          <w:sz w:val="48"/>
          <w:szCs w:val="48"/>
        </w:rPr>
      </w:pPr>
      <w:r>
        <w:rPr>
          <w:rFonts w:hint="eastAsia" w:ascii="宋体" w:hAnsi="宋体" w:cs="宋体"/>
          <w:b/>
          <w:sz w:val="48"/>
          <w:szCs w:val="48"/>
        </w:rPr>
        <w:t>目  录</w:t>
      </w: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pPr>
        <w:spacing w:line="360" w:lineRule="auto"/>
        <w:ind w:firstLine="549" w:firstLineChars="229"/>
        <w:rPr>
          <w:rFonts w:ascii="宋体" w:hAnsi="宋体" w:cs="宋体"/>
          <w:sz w:val="24"/>
        </w:rPr>
      </w:pPr>
      <w:bookmarkStart w:id="1" w:name="_Hlt91233176"/>
      <w:bookmarkEnd w:id="1"/>
      <w:bookmarkStart w:id="2" w:name="_Toc91899869"/>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rPr>
          <w:rFonts w:ascii="宋体" w:hAnsi="宋体" w:cs="宋体"/>
          <w:sz w:val="24"/>
        </w:rPr>
      </w:pPr>
    </w:p>
    <w:p>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07423"/>
      <w:bookmarkEnd w:id="4"/>
      <w:bookmarkStart w:id="5" w:name="_Hlt74728647"/>
      <w:bookmarkEnd w:id="5"/>
      <w:bookmarkStart w:id="6" w:name="_Hlt74729822"/>
      <w:bookmarkEnd w:id="6"/>
      <w:bookmarkStart w:id="7" w:name="_Hlt74649545"/>
      <w:bookmarkEnd w:id="7"/>
      <w:bookmarkStart w:id="8" w:name="第二部分"/>
      <w:bookmarkStart w:id="9" w:name="_Toc91899870"/>
      <w:bookmarkStart w:id="10" w:name="_Toc91899871"/>
      <w:r>
        <w:rPr>
          <w:rFonts w:hint="eastAsia" w:ascii="宋体" w:hAnsi="宋体" w:cs="宋体"/>
          <w:b/>
          <w:sz w:val="36"/>
          <w:szCs w:val="20"/>
        </w:rPr>
        <w:t>第一部分 招标公告</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嘉兴技师学院一体化可视设备采购项目的潜在投标人应在政采云平台（</w:t>
      </w:r>
      <w:r>
        <w:fldChar w:fldCharType="begin"/>
      </w:r>
      <w:r>
        <w:instrText xml:space="preserve"> HYPERLINK "https://www.zcygov.cn/）获取（下载）招标文件，并于2023%20年%20月%20日%20点%20分00秒" </w:instrText>
      </w:r>
      <w:r>
        <w:fldChar w:fldCharType="separate"/>
      </w:r>
      <w:r>
        <w:rPr>
          <w:rStyle w:val="77"/>
          <w:rFonts w:cs="Times New Roman" w:asciiTheme="minorEastAsia" w:hAnsiTheme="minorEastAsia" w:eastAsiaTheme="minorEastAsia"/>
          <w:snapToGrid/>
          <w:color w:val="auto"/>
          <w:kern w:val="2"/>
          <w:sz w:val="24"/>
          <w:szCs w:val="24"/>
        </w:rPr>
        <w:t>https://www.zcygov.cn/）获取（下载）招标文件，并于</w:t>
      </w:r>
      <w:r>
        <w:rPr>
          <w:rStyle w:val="77"/>
          <w:rFonts w:hint="eastAsia" w:cs="Times New Roman" w:asciiTheme="minorEastAsia" w:hAnsiTheme="minorEastAsia" w:eastAsiaTheme="minorEastAsia"/>
          <w:snapToGrid/>
          <w:color w:val="auto"/>
          <w:kern w:val="2"/>
          <w:sz w:val="24"/>
          <w:szCs w:val="24"/>
        </w:rPr>
        <w:t>2024</w:t>
      </w:r>
      <w:r>
        <w:rPr>
          <w:rStyle w:val="77"/>
          <w:rFonts w:cs="Times New Roman" w:asciiTheme="minorEastAsia" w:hAnsiTheme="minorEastAsia" w:eastAsiaTheme="minorEastAsia"/>
          <w:snapToGrid/>
          <w:color w:val="auto"/>
          <w:kern w:val="2"/>
          <w:sz w:val="24"/>
          <w:szCs w:val="24"/>
        </w:rPr>
        <w:t>年</w:t>
      </w:r>
      <w:r>
        <w:rPr>
          <w:rStyle w:val="77"/>
          <w:rFonts w:hint="eastAsia" w:cs="Times New Roman" w:asciiTheme="minorEastAsia" w:hAnsiTheme="minorEastAsia" w:eastAsiaTheme="minorEastAsia"/>
          <w:snapToGrid/>
          <w:color w:val="auto"/>
          <w:kern w:val="2"/>
          <w:sz w:val="24"/>
          <w:szCs w:val="24"/>
          <w:lang w:val="en-US" w:eastAsia="zh-CN"/>
        </w:rPr>
        <w:t>7</w:t>
      </w:r>
      <w:r>
        <w:rPr>
          <w:rStyle w:val="77"/>
          <w:rFonts w:hint="eastAsia" w:cs="Times New Roman" w:asciiTheme="minorEastAsia" w:hAnsiTheme="minorEastAsia" w:eastAsiaTheme="minorEastAsia"/>
          <w:snapToGrid/>
          <w:color w:val="auto"/>
          <w:kern w:val="2"/>
          <w:sz w:val="24"/>
          <w:szCs w:val="24"/>
        </w:rPr>
        <w:t>月</w:t>
      </w:r>
      <w:r>
        <w:rPr>
          <w:rStyle w:val="77"/>
          <w:rFonts w:hint="eastAsia" w:cs="Times New Roman" w:asciiTheme="minorEastAsia" w:hAnsiTheme="minorEastAsia" w:eastAsiaTheme="minorEastAsia"/>
          <w:snapToGrid/>
          <w:color w:val="auto"/>
          <w:kern w:val="2"/>
          <w:sz w:val="24"/>
          <w:szCs w:val="24"/>
          <w:lang w:val="en-US" w:eastAsia="zh-CN"/>
        </w:rPr>
        <w:t>19</w:t>
      </w:r>
      <w:r>
        <w:rPr>
          <w:rStyle w:val="77"/>
          <w:rFonts w:hint="eastAsia" w:cs="Times New Roman" w:asciiTheme="minorEastAsia" w:hAnsiTheme="minorEastAsia" w:eastAsiaTheme="minorEastAsia"/>
          <w:snapToGrid/>
          <w:color w:val="auto"/>
          <w:kern w:val="2"/>
          <w:sz w:val="24"/>
          <w:szCs w:val="24"/>
        </w:rPr>
        <w:t>日</w:t>
      </w:r>
      <w:r>
        <w:rPr>
          <w:rStyle w:val="77"/>
          <w:rFonts w:hint="eastAsia" w:cs="Times New Roman" w:asciiTheme="minorEastAsia" w:hAnsiTheme="minorEastAsia" w:eastAsiaTheme="minorEastAsia"/>
          <w:snapToGrid/>
          <w:color w:val="auto"/>
          <w:kern w:val="2"/>
          <w:sz w:val="24"/>
          <w:szCs w:val="24"/>
          <w:lang w:val="en-US" w:eastAsia="zh-CN"/>
        </w:rPr>
        <w:t>9</w:t>
      </w:r>
      <w:r>
        <w:rPr>
          <w:rStyle w:val="77"/>
          <w:rFonts w:hint="eastAsia" w:cs="Times New Roman" w:asciiTheme="minorEastAsia" w:hAnsiTheme="minorEastAsia" w:eastAsiaTheme="minorEastAsia"/>
          <w:snapToGrid/>
          <w:color w:val="auto"/>
          <w:kern w:val="2"/>
          <w:sz w:val="24"/>
          <w:szCs w:val="24"/>
        </w:rPr>
        <w:t>点00分</w:t>
      </w:r>
      <w:r>
        <w:rPr>
          <w:rStyle w:val="77"/>
          <w:rFonts w:hint="eastAsia" w:cs="Times New Roman" w:asciiTheme="minorEastAsia" w:hAnsiTheme="minorEastAsia" w:eastAsiaTheme="minorEastAsia"/>
          <w:bCs/>
          <w:snapToGrid/>
          <w:color w:val="auto"/>
          <w:kern w:val="2"/>
          <w:sz w:val="24"/>
          <w:szCs w:val="24"/>
        </w:rPr>
        <w:t>00秒</w:t>
      </w:r>
      <w:r>
        <w:rPr>
          <w:rStyle w:val="77"/>
          <w:rFonts w:hint="eastAsia" w:cs="Times New Roman" w:asciiTheme="minorEastAsia" w:hAnsiTheme="minorEastAsia" w:eastAsiaTheme="minorEastAsia"/>
          <w:bCs/>
          <w:snapToGrid/>
          <w:color w:val="auto"/>
          <w:kern w:val="2"/>
          <w:sz w:val="24"/>
          <w:szCs w:val="24"/>
        </w:rPr>
        <w:fldChar w:fldCharType="end"/>
      </w:r>
      <w:r>
        <w:rPr>
          <w:rFonts w:hint="eastAsia" w:asciiTheme="minorEastAsia" w:hAnsiTheme="minorEastAsia" w:eastAsiaTheme="minorEastAsia"/>
          <w:bCs/>
          <w:sz w:val="24"/>
        </w:rPr>
        <w:t>（北京时间）前</w:t>
      </w:r>
      <w:r>
        <w:rPr>
          <w:rFonts w:hint="eastAsia" w:asciiTheme="minorEastAsia" w:hAnsiTheme="minorEastAsia" w:eastAsiaTheme="minorEastAsia"/>
          <w:sz w:val="24"/>
        </w:rPr>
        <w:t>递交（上传）投标文件。</w:t>
      </w:r>
    </w:p>
    <w:p>
      <w:pPr>
        <w:spacing w:line="360" w:lineRule="auto"/>
        <w:rPr>
          <w:rFonts w:ascii="宋体" w:hAnsi="宋体" w:cs="宋体"/>
          <w:b/>
          <w:sz w:val="24"/>
        </w:rPr>
      </w:pPr>
      <w:r>
        <w:rPr>
          <w:rFonts w:hint="eastAsia" w:ascii="宋体" w:hAnsi="宋体" w:cs="宋体"/>
          <w:b/>
          <w:sz w:val="24"/>
        </w:rPr>
        <w:t xml:space="preserve">一、项目基本情况                                            </w:t>
      </w:r>
    </w:p>
    <w:p>
      <w:pPr>
        <w:spacing w:line="360" w:lineRule="auto"/>
        <w:ind w:firstLine="480"/>
        <w:rPr>
          <w:rFonts w:ascii="宋体" w:hAnsi="宋体" w:cs="宋体"/>
          <w:sz w:val="24"/>
        </w:rPr>
      </w:pPr>
      <w:r>
        <w:rPr>
          <w:rFonts w:hint="eastAsia" w:ascii="宋体" w:hAnsi="宋体" w:cs="宋体"/>
          <w:b/>
          <w:sz w:val="24"/>
        </w:rPr>
        <w:t>项目编号：</w:t>
      </w:r>
      <w:r>
        <w:rPr>
          <w:rFonts w:hint="eastAsia" w:ascii="宋体" w:hAnsi="宋体" w:cs="宋体"/>
          <w:sz w:val="24"/>
        </w:rPr>
        <w:t>J</w:t>
      </w:r>
      <w:r>
        <w:rPr>
          <w:rFonts w:ascii="宋体" w:hAnsi="宋体" w:cs="宋体"/>
          <w:sz w:val="24"/>
        </w:rPr>
        <w:t>XSJ-202</w:t>
      </w:r>
      <w:r>
        <w:rPr>
          <w:rFonts w:hint="eastAsia" w:ascii="宋体" w:hAnsi="宋体" w:cs="宋体"/>
          <w:sz w:val="24"/>
        </w:rPr>
        <w:t>4</w:t>
      </w:r>
      <w:r>
        <w:rPr>
          <w:rFonts w:ascii="宋体" w:hAnsi="宋体" w:cs="宋体"/>
          <w:sz w:val="24"/>
        </w:rPr>
        <w:t>-</w:t>
      </w:r>
      <w:r>
        <w:rPr>
          <w:rFonts w:hint="eastAsia" w:ascii="宋体" w:hAnsi="宋体" w:cs="宋体"/>
          <w:sz w:val="24"/>
        </w:rPr>
        <w:t>97</w:t>
      </w:r>
    </w:p>
    <w:p>
      <w:pPr>
        <w:spacing w:line="360" w:lineRule="auto"/>
        <w:ind w:firstLine="480"/>
        <w:rPr>
          <w:rFonts w:ascii="宋体" w:hAnsi="宋体" w:cs="宋体"/>
          <w:sz w:val="24"/>
        </w:rPr>
      </w:pPr>
      <w:r>
        <w:rPr>
          <w:rFonts w:hint="eastAsia" w:ascii="宋体" w:hAnsi="宋体" w:cs="宋体"/>
          <w:b/>
          <w:sz w:val="24"/>
        </w:rPr>
        <w:t>项目名称：</w:t>
      </w:r>
      <w:r>
        <w:rPr>
          <w:rFonts w:hint="eastAsia" w:asciiTheme="minorEastAsia" w:hAnsiTheme="minorEastAsia" w:eastAsiaTheme="minorEastAsia"/>
          <w:sz w:val="24"/>
        </w:rPr>
        <w:t>嘉兴技师学院一体化可视设备采购项目</w:t>
      </w:r>
    </w:p>
    <w:p>
      <w:pPr>
        <w:spacing w:line="360" w:lineRule="auto"/>
        <w:ind w:firstLine="482" w:firstLineChars="200"/>
        <w:rPr>
          <w:rFonts w:hint="default" w:ascii="宋体" w:hAnsi="宋体" w:eastAsia="宋体" w:cs="宋体"/>
          <w:sz w:val="24"/>
          <w:lang w:val="en-US" w:eastAsia="zh-CN"/>
        </w:rPr>
      </w:pPr>
      <w:r>
        <w:rPr>
          <w:rFonts w:hint="eastAsia" w:ascii="宋体" w:hAnsi="宋体" w:cs="宋体"/>
          <w:b/>
          <w:sz w:val="24"/>
        </w:rPr>
        <w:t>预算金额：</w:t>
      </w:r>
      <w:r>
        <w:rPr>
          <w:rFonts w:hint="eastAsia" w:ascii="宋体" w:hAnsi="宋体" w:cs="宋体"/>
          <w:b/>
          <w:sz w:val="24"/>
          <w:lang w:val="en-US" w:eastAsia="zh-CN"/>
        </w:rPr>
        <w:t>80万元</w:t>
      </w:r>
    </w:p>
    <w:p>
      <w:pPr>
        <w:pStyle w:val="5"/>
        <w:spacing w:line="360" w:lineRule="auto"/>
        <w:ind w:firstLine="480"/>
        <w:rPr>
          <w:rFonts w:hint="default" w:hAnsi="宋体" w:eastAsia="宋体" w:cs="宋体"/>
          <w:b/>
          <w:sz w:val="24"/>
          <w:lang w:val="en-US" w:eastAsia="zh-CN"/>
        </w:rPr>
      </w:pPr>
      <w:r>
        <w:rPr>
          <w:rFonts w:hint="eastAsia" w:hAnsi="宋体" w:cs="宋体"/>
          <w:b/>
          <w:sz w:val="24"/>
        </w:rPr>
        <w:t>最高限价：</w:t>
      </w:r>
      <w:r>
        <w:rPr>
          <w:rFonts w:hint="eastAsia" w:hAnsi="宋体" w:cs="宋体"/>
          <w:b/>
          <w:sz w:val="24"/>
          <w:lang w:val="en-US" w:eastAsia="zh-CN"/>
        </w:rPr>
        <w:t>80万元</w:t>
      </w:r>
    </w:p>
    <w:p>
      <w:pPr>
        <w:pStyle w:val="5"/>
        <w:spacing w:line="360" w:lineRule="auto"/>
        <w:ind w:firstLine="480"/>
        <w:rPr>
          <w:rFonts w:hAnsi="宋体" w:cs="宋体"/>
          <w:bCs/>
          <w:snapToGrid/>
          <w:color w:val="auto"/>
          <w:kern w:val="2"/>
          <w:sz w:val="24"/>
          <w:szCs w:val="24"/>
        </w:rPr>
      </w:pPr>
      <w:r>
        <w:rPr>
          <w:rFonts w:hint="eastAsia" w:hAnsi="宋体" w:cs="宋体"/>
          <w:b/>
          <w:color w:val="auto"/>
          <w:sz w:val="24"/>
        </w:rPr>
        <w:t>采购需求：</w:t>
      </w:r>
      <w:r>
        <w:rPr>
          <w:rFonts w:hint="eastAsia" w:hAnsi="宋体" w:cs="宋体"/>
          <w:bCs/>
          <w:color w:val="auto"/>
          <w:sz w:val="24"/>
        </w:rPr>
        <w:t>主要内容：全景摄像机、教师近景摄像机、交互终端、移动式视频管理系统、教师互动电视等，</w:t>
      </w:r>
      <w:r>
        <w:rPr>
          <w:rFonts w:hint="eastAsia" w:asciiTheme="minorEastAsia" w:hAnsiTheme="minorEastAsia" w:eastAsiaTheme="minorEastAsia"/>
          <w:snapToGrid/>
          <w:color w:val="auto"/>
          <w:kern w:val="2"/>
          <w:sz w:val="24"/>
          <w:szCs w:val="24"/>
        </w:rPr>
        <w:t>具体以招标文件第三部分采购需求为准，供应商可点击本公告下方“浏览采购文件”查看采购需求。</w:t>
      </w:r>
    </w:p>
    <w:p>
      <w:pPr>
        <w:pStyle w:val="130"/>
        <w:spacing w:before="120"/>
        <w:ind w:firstLine="482"/>
        <w:outlineLvl w:val="2"/>
        <w:rPr>
          <w:rFonts w:ascii="宋体" w:hAnsi="宋体" w:cs="宋体"/>
          <w:color w:val="0000FF"/>
        </w:rPr>
      </w:pPr>
      <w:r>
        <w:rPr>
          <w:rFonts w:hint="eastAsia" w:ascii="宋体" w:hAnsi="宋体" w:cs="宋体"/>
          <w:b/>
        </w:rPr>
        <w:t>合同履约期限：签订合同之日起60日内完成。</w:t>
      </w:r>
    </w:p>
    <w:p>
      <w:pPr>
        <w:pStyle w:val="5"/>
        <w:spacing w:line="360" w:lineRule="auto"/>
        <w:ind w:firstLine="480"/>
        <w:rPr>
          <w:rFonts w:hAnsi="宋体" w:cs="宋体"/>
          <w:color w:val="auto"/>
          <w:kern w:val="0"/>
          <w:sz w:val="24"/>
        </w:rPr>
      </w:pPr>
      <w:r>
        <w:rPr>
          <w:rFonts w:hint="eastAsia" w:hAnsi="宋体" w:cs="宋体"/>
          <w:b/>
          <w:color w:val="auto"/>
          <w:sz w:val="24"/>
        </w:rPr>
        <w:t>本项目接受联合体投标：</w:t>
      </w:r>
      <w:sdt>
        <w:sdtPr>
          <w:rPr>
            <w:rFonts w:hint="eastAsia" w:hAnsi="宋体" w:cs="宋体"/>
            <w:color w:val="auto"/>
            <w:kern w:val="0"/>
            <w:sz w:val="24"/>
          </w:rPr>
          <w:id w:val="2035453831"/>
        </w:sdtPr>
        <w:sdtEndPr>
          <w:rPr>
            <w:rFonts w:hint="eastAsia"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hAnsi="宋体" w:cs="宋体"/>
          <w:b/>
          <w:color w:val="auto"/>
          <w:sz w:val="24"/>
        </w:rPr>
        <w:t>是</w:t>
      </w:r>
      <w:r>
        <w:rPr>
          <w:rFonts w:hint="eastAsia" w:hAnsi="宋体" w:cs="宋体"/>
          <w:b/>
          <w:snapToGrid/>
          <w:color w:val="auto"/>
          <w:kern w:val="2"/>
          <w:sz w:val="24"/>
        </w:rPr>
        <w:t>；</w:t>
      </w:r>
      <w:sdt>
        <w:sdtPr>
          <w:rPr>
            <w:rFonts w:hint="eastAsia" w:hAnsi="宋体" w:cs="宋体"/>
            <w:color w:val="auto"/>
            <w:kern w:val="0"/>
            <w:sz w:val="24"/>
          </w:rPr>
          <w:id w:val="-1765526721"/>
        </w:sdtPr>
        <w:sdtEndPr>
          <w:rPr>
            <w:rFonts w:hint="eastAsia" w:hAnsi="宋体" w:cs="宋体"/>
            <w:color w:val="auto"/>
            <w:kern w:val="0"/>
            <w:sz w:val="24"/>
          </w:rPr>
        </w:sdtEndPr>
        <w:sdtContent>
          <w:r>
            <w:rPr>
              <w:rFonts w:hint="eastAsia" w:hAnsi="宋体" w:cs="宋体"/>
              <w:color w:val="auto"/>
              <w:kern w:val="0"/>
              <w:sz w:val="24"/>
            </w:rPr>
            <w:sym w:font="Wingdings" w:char="F0FE"/>
          </w:r>
        </w:sdtContent>
      </w:sdt>
      <w:r>
        <w:rPr>
          <w:rFonts w:hint="eastAsia" w:hAnsi="宋体" w:cs="宋体"/>
          <w:b/>
          <w:color w:val="auto"/>
          <w:sz w:val="24"/>
        </w:rPr>
        <w:t>否</w:t>
      </w:r>
      <w:r>
        <w:rPr>
          <w:rFonts w:hint="eastAsia" w:hAnsi="宋体" w:cs="宋体"/>
          <w:color w:val="auto"/>
          <w:kern w:val="0"/>
          <w:sz w:val="24"/>
        </w:rPr>
        <w:t>。</w:t>
      </w:r>
    </w:p>
    <w:p>
      <w:pPr>
        <w:spacing w:line="360" w:lineRule="auto"/>
        <w:rPr>
          <w:rFonts w:ascii="宋体" w:hAnsi="宋体" w:cs="宋体"/>
          <w:b/>
          <w:sz w:val="24"/>
        </w:rPr>
      </w:pPr>
      <w:r>
        <w:rPr>
          <w:rFonts w:hint="eastAsia" w:ascii="宋体" w:hAnsi="宋体" w:cs="宋体"/>
          <w:b/>
          <w:sz w:val="24"/>
        </w:rPr>
        <w:t>二、</w:t>
      </w:r>
      <w:bookmarkStart w:id="11" w:name="_Hlk101132948"/>
      <w:r>
        <w:rPr>
          <w:rFonts w:hint="eastAsia" w:ascii="宋体" w:hAnsi="宋体" w:cs="宋体"/>
          <w:b/>
          <w:sz w:val="24"/>
        </w:rPr>
        <w:t>申请人的资格要求</w:t>
      </w:r>
      <w:bookmarkEnd w:id="11"/>
      <w:r>
        <w:rPr>
          <w:rFonts w:hint="eastAsia" w:ascii="宋体" w:hAnsi="宋体" w:cs="宋体"/>
          <w:b/>
          <w:sz w:val="24"/>
        </w:rPr>
        <w:t>：</w:t>
      </w:r>
    </w:p>
    <w:p>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ascii="宋体" w:hAnsi="宋体" w:cs="宋体"/>
          <w:snapToGrid w:val="0"/>
          <w:kern w:val="28"/>
          <w:sz w:val="24"/>
          <w:szCs w:val="20"/>
        </w:rPr>
      </w:pPr>
      <w:r>
        <w:rPr>
          <w:rFonts w:ascii="宋体" w:hAnsi="宋体" w:cs="宋体"/>
          <w:snapToGrid w:val="0"/>
          <w:kern w:val="28"/>
          <w:sz w:val="24"/>
          <w:szCs w:val="20"/>
        </w:rPr>
        <w:t>2</w:t>
      </w:r>
      <w:r>
        <w:rPr>
          <w:rFonts w:hint="eastAsia" w:ascii="宋体" w:hAnsi="宋体" w:cs="宋体"/>
          <w:snapToGrid w:val="0"/>
          <w:kern w:val="28"/>
          <w:sz w:val="24"/>
          <w:szCs w:val="20"/>
        </w:rPr>
        <w:t>.落实政府采购政策需满足的资格要求：</w:t>
      </w:r>
    </w:p>
    <w:p>
      <w:pPr>
        <w:spacing w:line="360" w:lineRule="auto"/>
        <w:ind w:firstLine="480" w:firstLineChars="200"/>
        <w:rPr>
          <w:rFonts w:ascii="宋体" w:hAnsi="宋体" w:cs="宋体"/>
          <w:sz w:val="24"/>
        </w:rPr>
      </w:pPr>
      <w:sdt>
        <w:sdtPr>
          <w:rPr>
            <w:rFonts w:hint="eastAsia" w:ascii="宋体" w:hAnsi="宋体" w:cs="宋体"/>
            <w:color w:val="0000FF"/>
            <w:kern w:val="0"/>
            <w:sz w:val="24"/>
          </w:rPr>
          <w:id w:val="1928616923"/>
        </w:sdtPr>
        <w:sdtEndPr>
          <w:rPr>
            <w:rFonts w:hint="eastAsia" w:ascii="宋体" w:hAnsi="宋体" w:cs="宋体"/>
            <w:color w:val="auto"/>
            <w:kern w:val="0"/>
            <w:sz w:val="24"/>
          </w:rPr>
        </w:sdtEndPr>
        <w:sdtContent>
          <w:r>
            <w:rPr>
              <w:rFonts w:ascii="Wingdings" w:hAnsi="Wingdings" w:cs="宋体"/>
              <w:kern w:val="0"/>
              <w:sz w:val="24"/>
            </w:rPr>
            <w:sym w:font="Wingdings" w:char="00FE"/>
          </w:r>
        </w:sdtContent>
      </w:sdt>
      <w:r>
        <w:rPr>
          <w:rFonts w:hint="eastAsia" w:ascii="宋体" w:hAnsi="宋体" w:cs="宋体"/>
          <w:sz w:val="24"/>
        </w:rPr>
        <w:t>无；</w:t>
      </w:r>
    </w:p>
    <w:p>
      <w:pPr>
        <w:spacing w:line="360" w:lineRule="auto"/>
        <w:ind w:firstLine="480" w:firstLineChars="200"/>
        <w:rPr>
          <w:rFonts w:ascii="宋体" w:hAnsi="宋体" w:cs="宋体"/>
          <w:sz w:val="24"/>
        </w:rPr>
      </w:pPr>
      <w:sdt>
        <w:sdtPr>
          <w:rPr>
            <w:rFonts w:hint="eastAsia" w:ascii="宋体" w:hAnsi="宋体" w:cs="宋体"/>
            <w:kern w:val="0"/>
            <w:sz w:val="24"/>
          </w:rPr>
          <w:id w:val="-1024704304"/>
        </w:sdtPr>
        <w:sdtEndPr>
          <w:rPr>
            <w:rFonts w:hint="eastAsia" w:ascii="宋体" w:hAnsi="宋体" w:cs="宋体"/>
            <w:kern w:val="0"/>
            <w:sz w:val="24"/>
          </w:rPr>
        </w:sdtEndPr>
        <w:sdtContent>
          <w:r>
            <w:rPr>
              <w:rFonts w:ascii="Wingdings" w:hAnsi="Wingdings" w:cs="宋体"/>
              <w:kern w:val="0"/>
              <w:sz w:val="24"/>
            </w:rPr>
            <w:sym w:font="Wingdings" w:char="00A8"/>
          </w:r>
        </w:sdtContent>
      </w:sdt>
      <w:r>
        <w:rPr>
          <w:rFonts w:hint="eastAsia" w:ascii="宋体" w:hAnsi="宋体" w:cs="宋体"/>
          <w:kern w:val="0"/>
          <w:sz w:val="24"/>
        </w:rPr>
        <w:t>专</w:t>
      </w:r>
      <w:r>
        <w:rPr>
          <w:rFonts w:hint="eastAsia" w:ascii="宋体" w:hAnsi="宋体" w:cs="宋体"/>
          <w:sz w:val="24"/>
        </w:rPr>
        <w:t>门面向中小企业</w:t>
      </w:r>
    </w:p>
    <w:p>
      <w:pPr>
        <w:spacing w:line="360" w:lineRule="auto"/>
        <w:ind w:firstLine="897" w:firstLineChars="374"/>
        <w:rPr>
          <w:rFonts w:ascii="宋体" w:hAnsi="宋体" w:cs="宋体"/>
          <w:sz w:val="24"/>
          <w:u w:val="single"/>
        </w:rPr>
      </w:pPr>
      <w:sdt>
        <w:sdtPr>
          <w:rPr>
            <w:rFonts w:hint="eastAsia" w:ascii="宋体" w:hAnsi="宋体" w:cs="宋体"/>
            <w:kern w:val="0"/>
            <w:sz w:val="24"/>
          </w:rPr>
          <w:id w:val="-924730588"/>
        </w:sdtPr>
        <w:sdtEndPr>
          <w:rPr>
            <w:rFonts w:hint="eastAsia" w:ascii="宋体" w:hAnsi="宋体" w:cs="宋体"/>
            <w:kern w:val="0"/>
            <w:sz w:val="24"/>
          </w:rPr>
        </w:sdtEndPr>
        <w:sdtContent>
          <w:r>
            <w:rPr>
              <w:rFonts w:ascii="Wingdings" w:hAnsi="Wingdings" w:cs="宋体"/>
              <w:kern w:val="0"/>
              <w:sz w:val="24"/>
            </w:rPr>
            <w:sym w:font="Wingdings" w:char="00A8"/>
          </w:r>
        </w:sdtContent>
      </w:sdt>
      <w:r>
        <w:rPr>
          <w:rFonts w:hint="eastAsia" w:ascii="宋体" w:hAnsi="宋体" w:cs="宋体"/>
          <w:sz w:val="24"/>
        </w:rPr>
        <w:t>货物全部由符合政策要求的中小企业制造，提供中小企业声明函；</w:t>
      </w:r>
    </w:p>
    <w:p>
      <w:pPr>
        <w:spacing w:line="360" w:lineRule="auto"/>
        <w:ind w:firstLine="897" w:firstLineChars="374"/>
        <w:rPr>
          <w:rFonts w:ascii="宋体" w:hAnsi="宋体" w:cs="宋体"/>
          <w:sz w:val="24"/>
        </w:rPr>
      </w:pPr>
      <w:sdt>
        <w:sdtPr>
          <w:rPr>
            <w:rFonts w:hint="eastAsia" w:ascii="宋体" w:hAnsi="宋体" w:cs="宋体"/>
            <w:kern w:val="0"/>
            <w:sz w:val="24"/>
          </w:rPr>
          <w:id w:val="-1152604937"/>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货物全部由符合政策要求的小微企业制造，提供中小企业声明函；</w:t>
      </w:r>
    </w:p>
    <w:p>
      <w:pPr>
        <w:spacing w:line="360" w:lineRule="auto"/>
        <w:ind w:firstLine="480" w:firstLineChars="200"/>
        <w:rPr>
          <w:rFonts w:ascii="宋体" w:hAnsi="宋体" w:cs="宋体"/>
          <w:sz w:val="24"/>
        </w:rPr>
      </w:pPr>
      <w:sdt>
        <w:sdtPr>
          <w:rPr>
            <w:rFonts w:hint="eastAsia" w:ascii="宋体" w:hAnsi="宋体" w:cs="宋体"/>
            <w:kern w:val="0"/>
            <w:sz w:val="24"/>
          </w:rPr>
          <w:id w:val="-1985607795"/>
        </w:sdtPr>
        <w:sdtEndPr>
          <w:rPr>
            <w:rFonts w:hint="eastAsia" w:ascii="宋体" w:hAnsi="宋体" w:cs="宋体"/>
            <w:kern w:val="0"/>
            <w:sz w:val="24"/>
          </w:rPr>
        </w:sdtEndPr>
        <w:sdtContent>
          <w:r>
            <w:rPr>
              <w:rFonts w:hint="eastAsia" w:ascii="宋体" w:hAnsi="宋体" w:cs="宋体"/>
              <w:kern w:val="0"/>
              <w:sz w:val="24"/>
            </w:rPr>
            <w:t>☐</w:t>
          </w:r>
          <w:bookmarkStart w:id="12" w:name="_Hlk101132524"/>
        </w:sdtContent>
      </w:sdt>
      <w:r>
        <w:rPr>
          <w:rFonts w:hint="eastAsia" w:ascii="宋体" w:hAnsi="宋体" w:cs="宋体"/>
          <w:sz w:val="24"/>
        </w:rPr>
        <w:t>要求以联合体形式参加，提供联合协议和中小企业声明函，联合协议中中小企业合同金额应当达到%，其中小微企业合同金额应当达到%;</w:t>
      </w:r>
      <w:r>
        <w:rPr>
          <w:rFonts w:hint="eastAsia" w:ascii="宋体" w:hAnsi="宋体" w:cs="宋体"/>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sz w:val="24"/>
        </w:rPr>
        <w:t>；</w:t>
      </w:r>
    </w:p>
    <w:bookmarkEnd w:id="12"/>
    <w:p>
      <w:pPr>
        <w:spacing w:line="360" w:lineRule="auto"/>
        <w:ind w:firstLine="480" w:firstLineChars="200"/>
        <w:rPr>
          <w:rFonts w:ascii="宋体" w:hAnsi="宋体" w:cs="宋体"/>
          <w:sz w:val="24"/>
        </w:rPr>
      </w:pPr>
      <w:sdt>
        <w:sdtPr>
          <w:rPr>
            <w:rFonts w:hint="eastAsia" w:ascii="宋体" w:hAnsi="宋体" w:cs="宋体"/>
            <w:kern w:val="0"/>
            <w:sz w:val="24"/>
          </w:rPr>
          <w:id w:val="34630645"/>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要求合同分包，提供分包意向协议和中小企业声明函，分包意向协议中中小企业合同金额应当达到达到% ，其中小微企业合同金额应当达到% ;</w:t>
      </w:r>
      <w:r>
        <w:rPr>
          <w:rFonts w:hint="eastAsia" w:ascii="宋体" w:hAnsi="宋体" w:cs="宋体"/>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.本项目的特定资格要求：无；</w:t>
      </w:r>
    </w:p>
    <w:p>
      <w:pPr>
        <w:snapToGrid w:val="0"/>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rPr>
          <w:rFonts w:ascii="宋体" w:hAnsi="宋体" w:cs="宋体"/>
          <w:b/>
          <w:sz w:val="24"/>
        </w:rPr>
      </w:pPr>
      <w:r>
        <w:rPr>
          <w:rFonts w:hint="eastAsia" w:ascii="宋体" w:hAnsi="宋体" w:cs="宋体"/>
          <w:b/>
          <w:sz w:val="24"/>
        </w:rPr>
        <w:t xml:space="preserve">三、获取招标文件 </w:t>
      </w:r>
    </w:p>
    <w:p>
      <w:pPr>
        <w:spacing w:line="360" w:lineRule="auto"/>
        <w:ind w:firstLine="482" w:firstLineChars="200"/>
        <w:rPr>
          <w:rFonts w:ascii="宋体" w:hAnsi="宋体" w:cs="宋体"/>
          <w:sz w:val="24"/>
        </w:rPr>
      </w:pPr>
      <w:r>
        <w:rPr>
          <w:rFonts w:hint="eastAsia" w:ascii="宋体" w:hAnsi="宋体" w:cs="宋体"/>
          <w:b/>
          <w:sz w:val="24"/>
        </w:rPr>
        <w:t>时间：</w:t>
      </w:r>
      <w:r>
        <w:rPr>
          <w:rFonts w:hint="eastAsia" w:ascii="宋体" w:hAnsi="宋体" w:cs="宋体"/>
          <w:sz w:val="24"/>
        </w:rPr>
        <w:t>/至</w:t>
      </w:r>
      <w:r>
        <w:rPr>
          <w:rFonts w:hint="eastAsia" w:ascii="宋体" w:hAnsi="宋体" w:cs="宋体"/>
          <w:sz w:val="24"/>
          <w:u w:val="single"/>
        </w:rPr>
        <w:t>2024年</w:t>
      </w:r>
      <w:r>
        <w:rPr>
          <w:rFonts w:hint="eastAsia" w:ascii="宋体" w:hAnsi="宋体" w:cs="宋体"/>
          <w:sz w:val="24"/>
          <w:u w:val="single"/>
          <w:lang w:val="en-US" w:eastAsia="zh-CN"/>
        </w:rPr>
        <w:t>7</w:t>
      </w:r>
      <w:r>
        <w:rPr>
          <w:rFonts w:hint="eastAsia" w:ascii="宋体" w:hAnsi="宋体" w:cs="宋体"/>
          <w:sz w:val="24"/>
          <w:u w:val="single"/>
        </w:rPr>
        <w:t>月</w:t>
      </w:r>
      <w:r>
        <w:rPr>
          <w:rFonts w:hint="eastAsia" w:ascii="宋体" w:hAnsi="宋体" w:cs="宋体"/>
          <w:sz w:val="24"/>
          <w:u w:val="single"/>
          <w:lang w:val="en-US" w:eastAsia="zh-CN"/>
        </w:rPr>
        <w:t>19</w:t>
      </w:r>
      <w:r>
        <w:rPr>
          <w:rFonts w:hint="eastAsia" w:ascii="宋体" w:hAnsi="宋体" w:cs="宋体"/>
          <w:sz w:val="24"/>
          <w:u w:val="single"/>
        </w:rPr>
        <w:t>日</w:t>
      </w:r>
      <w:r>
        <w:rPr>
          <w:rFonts w:hint="eastAsia" w:ascii="宋体" w:hAnsi="宋体" w:cs="宋体"/>
          <w:sz w:val="24"/>
        </w:rPr>
        <w:t>，每天上午00:00至12:00 ，下午12:00至23:59（北京时间，线上获取法定节假日均可，线下获取文件法定节假日除外）</w:t>
      </w:r>
    </w:p>
    <w:p>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pPr>
        <w:spacing w:line="360" w:lineRule="auto"/>
        <w:ind w:firstLine="482" w:firstLineChars="200"/>
        <w:rPr>
          <w:rFonts w:ascii="宋体" w:hAnsi="宋体" w:cs="宋体"/>
          <w:sz w:val="24"/>
        </w:rPr>
      </w:pPr>
      <w:r>
        <w:rPr>
          <w:rFonts w:hint="eastAsia" w:ascii="宋体" w:hAnsi="宋体" w:cs="宋体"/>
          <w:b/>
          <w:sz w:val="24"/>
        </w:rPr>
        <w:t>方式：</w:t>
      </w:r>
      <w:r>
        <w:rPr>
          <w:rFonts w:hint="eastAsia" w:ascii="宋体" w:hAnsi="宋体" w:cs="宋体"/>
          <w:sz w:val="24"/>
        </w:rPr>
        <w:t xml:space="preserve">供应商登录政采云平台https://www.zcygov.cn/在线申请获取采购文件（进入“项目采购”应用，在获取采购文件菜单中选择项目，申请获取采购文件）。 </w:t>
      </w:r>
    </w:p>
    <w:p>
      <w:pPr>
        <w:spacing w:line="360" w:lineRule="auto"/>
        <w:ind w:firstLine="482" w:firstLineChars="200"/>
        <w:rPr>
          <w:rFonts w:ascii="宋体" w:hAnsi="宋体" w:cs="宋体"/>
          <w:sz w:val="24"/>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pPr>
        <w:spacing w:line="360" w:lineRule="auto"/>
        <w:rPr>
          <w:rFonts w:ascii="宋体" w:hAnsi="宋体" w:cs="宋体"/>
          <w:b/>
          <w:sz w:val="24"/>
        </w:rPr>
      </w:pPr>
      <w:r>
        <w:rPr>
          <w:rFonts w:hint="eastAsia" w:ascii="宋体" w:hAnsi="宋体" w:cs="宋体"/>
          <w:b/>
          <w:sz w:val="24"/>
        </w:rPr>
        <w:t>四、提交投标文件截止时间、开标时间和地点</w:t>
      </w:r>
    </w:p>
    <w:p>
      <w:pPr>
        <w:spacing w:line="360" w:lineRule="auto"/>
        <w:ind w:firstLine="482" w:firstLineChars="200"/>
        <w:rPr>
          <w:rFonts w:ascii="宋体" w:hAnsi="宋体" w:cs="宋体"/>
          <w:sz w:val="24"/>
        </w:rPr>
      </w:pPr>
      <w:r>
        <w:rPr>
          <w:rFonts w:hint="eastAsia" w:ascii="宋体" w:hAnsi="宋体" w:cs="宋体"/>
          <w:b/>
          <w:sz w:val="24"/>
        </w:rPr>
        <w:t>提交投标文件截止时间：</w:t>
      </w:r>
      <w:r>
        <w:rPr>
          <w:rFonts w:hint="eastAsia" w:ascii="宋体" w:hAnsi="宋体" w:cs="宋体"/>
          <w:sz w:val="24"/>
          <w:u w:val="single"/>
        </w:rPr>
        <w:t>2024年</w:t>
      </w:r>
      <w:r>
        <w:rPr>
          <w:rFonts w:hint="eastAsia" w:ascii="宋体" w:hAnsi="宋体" w:cs="宋体"/>
          <w:sz w:val="24"/>
          <w:u w:val="single"/>
          <w:lang w:val="en-US" w:eastAsia="zh-CN"/>
        </w:rPr>
        <w:t>7</w:t>
      </w:r>
      <w:r>
        <w:rPr>
          <w:rFonts w:hint="eastAsia" w:ascii="宋体" w:hAnsi="宋体" w:cs="宋体"/>
          <w:sz w:val="24"/>
          <w:u w:val="single"/>
        </w:rPr>
        <w:t>月</w:t>
      </w:r>
      <w:r>
        <w:rPr>
          <w:rFonts w:hint="eastAsia" w:ascii="宋体" w:hAnsi="宋体" w:cs="宋体"/>
          <w:sz w:val="24"/>
          <w:u w:val="single"/>
          <w:lang w:val="en-US" w:eastAsia="zh-CN"/>
        </w:rPr>
        <w:t>19</w:t>
      </w:r>
      <w:r>
        <w:rPr>
          <w:rFonts w:hint="eastAsia" w:ascii="宋体" w:hAnsi="宋体" w:cs="宋体"/>
          <w:sz w:val="24"/>
          <w:u w:val="single"/>
        </w:rPr>
        <w:t>日</w:t>
      </w:r>
      <w:r>
        <w:rPr>
          <w:rFonts w:hint="eastAsia" w:ascii="宋体" w:hAnsi="宋体" w:cs="宋体"/>
          <w:sz w:val="24"/>
          <w:u w:val="single"/>
          <w:lang w:val="en-US" w:eastAsia="zh-CN"/>
        </w:rPr>
        <w:t>9</w:t>
      </w:r>
      <w:r>
        <w:rPr>
          <w:rFonts w:hint="eastAsia" w:ascii="宋体" w:hAnsi="宋体" w:cs="宋体"/>
          <w:sz w:val="24"/>
          <w:u w:val="single"/>
        </w:rPr>
        <w:t>点00分00秒</w:t>
      </w:r>
      <w:r>
        <w:rPr>
          <w:rFonts w:hint="eastAsia" w:ascii="宋体" w:hAnsi="宋体" w:cs="宋体"/>
          <w:sz w:val="24"/>
        </w:rPr>
        <w:t>（北京时间）</w:t>
      </w:r>
    </w:p>
    <w:p>
      <w:pPr>
        <w:spacing w:line="360" w:lineRule="auto"/>
        <w:ind w:firstLine="482" w:firstLineChars="200"/>
        <w:rPr>
          <w:rFonts w:ascii="宋体" w:hAnsi="宋体" w:cs="宋体"/>
          <w:b/>
          <w:sz w:val="24"/>
        </w:rPr>
      </w:pPr>
      <w:r>
        <w:rPr>
          <w:rFonts w:hint="eastAsia" w:ascii="宋体" w:hAnsi="宋体" w:cs="宋体"/>
          <w:b/>
          <w:sz w:val="24"/>
        </w:rPr>
        <w:t>投标地点（网址）：</w:t>
      </w:r>
      <w:r>
        <w:rPr>
          <w:rFonts w:hint="eastAsia" w:ascii="宋体" w:hAnsi="宋体" w:cs="宋体"/>
          <w:sz w:val="24"/>
        </w:rPr>
        <w:t xml:space="preserve">政采云平台（https://www.zcygov.cn/） </w:t>
      </w:r>
    </w:p>
    <w:p>
      <w:pPr>
        <w:spacing w:line="360" w:lineRule="auto"/>
        <w:ind w:firstLine="482" w:firstLineChars="200"/>
        <w:rPr>
          <w:rFonts w:ascii="宋体" w:hAnsi="宋体" w:cs="宋体"/>
          <w:bCs/>
          <w:sz w:val="24"/>
          <w:u w:val="single"/>
        </w:rPr>
      </w:pPr>
      <w:r>
        <w:rPr>
          <w:rFonts w:hint="eastAsia" w:ascii="宋体" w:hAnsi="宋体" w:cs="宋体"/>
          <w:b/>
          <w:sz w:val="24"/>
        </w:rPr>
        <w:t>开标时间：</w:t>
      </w:r>
      <w:r>
        <w:rPr>
          <w:rFonts w:hint="eastAsia" w:ascii="宋体" w:hAnsi="宋体" w:cs="宋体"/>
          <w:sz w:val="24"/>
          <w:u w:val="single"/>
        </w:rPr>
        <w:t>2024年</w:t>
      </w:r>
      <w:r>
        <w:rPr>
          <w:rFonts w:hint="eastAsia" w:ascii="宋体" w:hAnsi="宋体" w:cs="宋体"/>
          <w:sz w:val="24"/>
          <w:u w:val="single"/>
          <w:lang w:val="en-US" w:eastAsia="zh-CN"/>
        </w:rPr>
        <w:t>7</w:t>
      </w:r>
      <w:r>
        <w:rPr>
          <w:rFonts w:hint="eastAsia" w:ascii="宋体" w:hAnsi="宋体" w:cs="宋体"/>
          <w:sz w:val="24"/>
          <w:u w:val="single"/>
        </w:rPr>
        <w:t>月</w:t>
      </w:r>
      <w:r>
        <w:rPr>
          <w:rFonts w:hint="eastAsia" w:ascii="宋体" w:hAnsi="宋体" w:cs="宋体"/>
          <w:sz w:val="24"/>
          <w:u w:val="single"/>
          <w:lang w:val="en-US" w:eastAsia="zh-CN"/>
        </w:rPr>
        <w:t>19</w:t>
      </w:r>
      <w:r>
        <w:rPr>
          <w:rFonts w:hint="eastAsia" w:ascii="宋体" w:hAnsi="宋体" w:cs="宋体"/>
          <w:sz w:val="24"/>
          <w:u w:val="single"/>
        </w:rPr>
        <w:t>日</w:t>
      </w:r>
      <w:r>
        <w:rPr>
          <w:rFonts w:hint="eastAsia" w:ascii="宋体" w:hAnsi="宋体" w:cs="宋体"/>
          <w:sz w:val="24"/>
          <w:u w:val="single"/>
          <w:lang w:val="en-US" w:eastAsia="zh-CN"/>
        </w:rPr>
        <w:t>9</w:t>
      </w:r>
      <w:r>
        <w:rPr>
          <w:rFonts w:hint="eastAsia" w:ascii="宋体" w:hAnsi="宋体" w:cs="宋体"/>
          <w:sz w:val="24"/>
          <w:u w:val="single"/>
        </w:rPr>
        <w:t>点00分00秒</w:t>
      </w:r>
    </w:p>
    <w:p>
      <w:pPr>
        <w:spacing w:line="360" w:lineRule="auto"/>
        <w:ind w:firstLine="482" w:firstLineChars="200"/>
        <w:rPr>
          <w:rFonts w:ascii="宋体" w:hAnsi="宋体" w:cs="宋体"/>
          <w:sz w:val="24"/>
        </w:rPr>
      </w:pPr>
      <w:r>
        <w:rPr>
          <w:rFonts w:hint="eastAsia" w:ascii="宋体" w:hAnsi="宋体" w:cs="宋体"/>
          <w:b/>
          <w:sz w:val="24"/>
        </w:rPr>
        <w:t>开标地点（网址）：</w:t>
      </w:r>
      <w:r>
        <w:rPr>
          <w:rFonts w:hint="eastAsia" w:ascii="宋体" w:hAnsi="宋体" w:cs="宋体"/>
          <w:sz w:val="24"/>
        </w:rPr>
        <w:t>政采云平台（https://www.zcygov.cn/）</w:t>
      </w:r>
    </w:p>
    <w:p>
      <w:pPr>
        <w:spacing w:line="360" w:lineRule="auto"/>
        <w:rPr>
          <w:rFonts w:ascii="宋体" w:hAnsi="宋体" w:cs="宋体"/>
          <w:sz w:val="24"/>
        </w:rPr>
      </w:pPr>
      <w:r>
        <w:rPr>
          <w:rFonts w:hint="eastAsia" w:ascii="宋体" w:hAnsi="宋体" w:cs="宋体"/>
          <w:b/>
          <w:sz w:val="24"/>
        </w:rPr>
        <w:t xml:space="preserve">五、公告期限 </w:t>
      </w:r>
    </w:p>
    <w:p>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pPr>
        <w:spacing w:line="360" w:lineRule="auto"/>
        <w:rPr>
          <w:rFonts w:ascii="宋体" w:hAnsi="宋体" w:cs="宋体"/>
          <w:b/>
          <w:sz w:val="24"/>
        </w:rPr>
      </w:pPr>
      <w:r>
        <w:rPr>
          <w:rFonts w:hint="eastAsia" w:ascii="宋体" w:hAnsi="宋体" w:cs="宋体"/>
          <w:b/>
          <w:sz w:val="24"/>
        </w:rPr>
        <w:t>六、其他补充事宜</w:t>
      </w:r>
    </w:p>
    <w:p>
      <w:pPr>
        <w:spacing w:line="360" w:lineRule="auto"/>
        <w:ind w:firstLine="480" w:firstLineChars="200"/>
        <w:rPr>
          <w:rFonts w:ascii="宋体" w:hAnsi="宋体" w:cs="宋体"/>
          <w:sz w:val="24"/>
        </w:rPr>
      </w:pPr>
      <w:r>
        <w:rPr>
          <w:rFonts w:hint="eastAsia" w:ascii="宋体" w:hAnsi="宋体" w:cs="宋体"/>
          <w:sz w:val="24"/>
        </w:rPr>
        <w:t xml:space="preserve"> 1. </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spacing w:line="360" w:lineRule="auto"/>
        <w:ind w:firstLine="480" w:firstLineChars="20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ascii="宋体" w:hAnsi="宋体" w:cs="宋体"/>
          <w:sz w:val="24"/>
        </w:rPr>
      </w:pPr>
      <w:r>
        <w:rPr>
          <w:rFonts w:hint="eastAsia" w:ascii="宋体" w:hAnsi="宋体" w:cs="宋体"/>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pPr>
        <w:spacing w:line="360" w:lineRule="auto"/>
        <w:rPr>
          <w:rFonts w:ascii="宋体" w:hAnsi="宋体" w:cs="宋体"/>
          <w:b/>
          <w:sz w:val="24"/>
        </w:rPr>
      </w:pPr>
      <w:r>
        <w:rPr>
          <w:rFonts w:hint="eastAsia" w:ascii="宋体" w:hAnsi="宋体" w:cs="宋体"/>
          <w:b/>
          <w:sz w:val="24"/>
        </w:rPr>
        <w:t>七、对本次采购提出询问、质疑、投诉，请按以下方式联系</w:t>
      </w:r>
    </w:p>
    <w:p>
      <w:pPr>
        <w:spacing w:line="360" w:lineRule="auto"/>
        <w:rPr>
          <w:rFonts w:ascii="宋体" w:hAnsi="宋体" w:cs="宋体"/>
          <w:sz w:val="24"/>
        </w:rPr>
      </w:pPr>
      <w:r>
        <w:rPr>
          <w:rFonts w:hint="eastAsia" w:ascii="宋体" w:hAnsi="宋体" w:cs="宋体"/>
          <w:sz w:val="24"/>
        </w:rPr>
        <w:t xml:space="preserve">    1.采购人信息</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名    称：嘉兴技师学院</w:t>
      </w:r>
    </w:p>
    <w:p>
      <w:pPr>
        <w:spacing w:line="360" w:lineRule="auto"/>
        <w:ind w:firstLine="480" w:firstLineChars="200"/>
        <w:rPr>
          <w:rFonts w:ascii="宋体" w:hAnsi="宋体" w:cs="宋体"/>
          <w:sz w:val="24"/>
        </w:rPr>
      </w:pPr>
      <w:r>
        <w:rPr>
          <w:rFonts w:hint="eastAsia" w:ascii="宋体" w:hAnsi="宋体" w:cs="宋体"/>
          <w:sz w:val="24"/>
        </w:rPr>
        <w:t xml:space="preserve">地    址：浙江省嘉兴市南湖区文博路793号       </w:t>
      </w:r>
    </w:p>
    <w:p>
      <w:pPr>
        <w:spacing w:line="360" w:lineRule="auto"/>
        <w:ind w:firstLine="480" w:firstLineChars="200"/>
        <w:rPr>
          <w:rFonts w:ascii="宋体" w:hAnsi="宋体" w:cs="宋体"/>
          <w:sz w:val="24"/>
        </w:rPr>
      </w:pPr>
      <w:r>
        <w:rPr>
          <w:rFonts w:hint="eastAsia" w:ascii="宋体" w:hAnsi="宋体" w:cs="宋体"/>
          <w:sz w:val="24"/>
        </w:rPr>
        <w:t>项目联系人（询问）：陈老师</w:t>
      </w:r>
    </w:p>
    <w:p>
      <w:pPr>
        <w:spacing w:line="360" w:lineRule="auto"/>
        <w:rPr>
          <w:rFonts w:ascii="宋体" w:hAnsi="宋体" w:cs="宋体"/>
          <w:sz w:val="24"/>
        </w:rPr>
      </w:pPr>
      <w:r>
        <w:rPr>
          <w:rFonts w:hint="eastAsia" w:ascii="宋体" w:hAnsi="宋体" w:cs="宋体"/>
          <w:sz w:val="24"/>
        </w:rPr>
        <w:t xml:space="preserve">    项目联系方式（询问）：0573-82752676</w:t>
      </w:r>
    </w:p>
    <w:p>
      <w:pPr>
        <w:spacing w:line="360" w:lineRule="auto"/>
        <w:rPr>
          <w:rFonts w:ascii="宋体" w:hAnsi="宋体" w:cs="宋体"/>
          <w:sz w:val="24"/>
        </w:rPr>
      </w:pPr>
      <w:r>
        <w:rPr>
          <w:rFonts w:hint="eastAsia" w:ascii="宋体" w:hAnsi="宋体" w:cs="宋体"/>
          <w:sz w:val="24"/>
        </w:rPr>
        <w:t xml:space="preserve">    质疑联系人：高主任</w:t>
      </w:r>
    </w:p>
    <w:p>
      <w:pPr>
        <w:spacing w:line="360" w:lineRule="auto"/>
        <w:ind w:firstLine="480" w:firstLineChars="200"/>
        <w:rPr>
          <w:rFonts w:ascii="宋体" w:hAnsi="宋体" w:cs="宋体"/>
          <w:sz w:val="24"/>
        </w:rPr>
      </w:pPr>
      <w:r>
        <w:rPr>
          <w:rFonts w:hint="eastAsia" w:ascii="宋体" w:hAnsi="宋体" w:cs="宋体"/>
          <w:sz w:val="24"/>
        </w:rPr>
        <w:t xml:space="preserve">质疑联系方式：0573-82621282 </w:t>
      </w:r>
    </w:p>
    <w:p>
      <w:pPr>
        <w:spacing w:line="360" w:lineRule="auto"/>
        <w:rPr>
          <w:rFonts w:ascii="宋体" w:hAnsi="宋体" w:cs="宋体"/>
          <w:sz w:val="24"/>
        </w:rPr>
      </w:pPr>
      <w:r>
        <w:rPr>
          <w:rFonts w:hint="eastAsia" w:ascii="宋体" w:hAnsi="宋体" w:cs="宋体"/>
          <w:sz w:val="24"/>
        </w:rPr>
        <w:t xml:space="preserve">    2.采购代理机构信息            </w:t>
      </w:r>
    </w:p>
    <w:p>
      <w:pPr>
        <w:spacing w:line="360" w:lineRule="auto"/>
        <w:ind w:firstLine="480"/>
        <w:rPr>
          <w:rFonts w:ascii="宋体" w:hAnsi="宋体" w:cs="宋体"/>
          <w:sz w:val="24"/>
        </w:rPr>
      </w:pPr>
      <w:r>
        <w:rPr>
          <w:rFonts w:hint="eastAsia" w:ascii="宋体" w:hAnsi="宋体" w:cs="宋体"/>
          <w:sz w:val="24"/>
        </w:rPr>
        <w:t>名    称：嘉兴市建新工程造价咨询事务所有限公司</w:t>
      </w:r>
    </w:p>
    <w:p>
      <w:pPr>
        <w:spacing w:line="360" w:lineRule="auto"/>
        <w:ind w:firstLine="480"/>
        <w:rPr>
          <w:rFonts w:ascii="宋体" w:hAnsi="宋体" w:cs="宋体"/>
          <w:sz w:val="24"/>
        </w:rPr>
      </w:pPr>
      <w:r>
        <w:rPr>
          <w:rFonts w:hint="eastAsia" w:ascii="宋体" w:hAnsi="宋体" w:cs="宋体"/>
          <w:sz w:val="24"/>
        </w:rPr>
        <w:t>地    址：会展路2</w:t>
      </w:r>
      <w:r>
        <w:rPr>
          <w:rFonts w:ascii="宋体" w:hAnsi="宋体" w:cs="宋体"/>
          <w:sz w:val="24"/>
        </w:rPr>
        <w:t>07</w:t>
      </w:r>
      <w:r>
        <w:rPr>
          <w:rFonts w:hint="eastAsia" w:ascii="宋体" w:hAnsi="宋体" w:cs="宋体"/>
          <w:sz w:val="24"/>
        </w:rPr>
        <w:t>号</w:t>
      </w:r>
    </w:p>
    <w:p>
      <w:pPr>
        <w:spacing w:line="360" w:lineRule="auto"/>
        <w:rPr>
          <w:rFonts w:ascii="宋体" w:hAnsi="宋体" w:cs="宋体"/>
          <w:sz w:val="24"/>
        </w:rPr>
      </w:pPr>
      <w:r>
        <w:rPr>
          <w:rFonts w:hint="eastAsia" w:ascii="宋体" w:hAnsi="宋体" w:cs="宋体"/>
          <w:sz w:val="24"/>
        </w:rPr>
        <w:t xml:space="preserve">    传    真： </w:t>
      </w:r>
      <w:r>
        <w:rPr>
          <w:rFonts w:ascii="宋体" w:hAnsi="宋体" w:cs="宋体"/>
          <w:sz w:val="24"/>
        </w:rPr>
        <w:t>/</w:t>
      </w:r>
    </w:p>
    <w:p>
      <w:pPr>
        <w:spacing w:line="360" w:lineRule="auto"/>
        <w:rPr>
          <w:rFonts w:ascii="宋体" w:hAnsi="宋体" w:cs="宋体"/>
          <w:sz w:val="24"/>
        </w:rPr>
      </w:pPr>
      <w:r>
        <w:rPr>
          <w:rFonts w:hint="eastAsia" w:ascii="宋体" w:hAnsi="宋体" w:cs="宋体"/>
          <w:sz w:val="24"/>
        </w:rPr>
        <w:t xml:space="preserve">    项目联系人（询问）： 陆燕</w:t>
      </w:r>
    </w:p>
    <w:p>
      <w:pPr>
        <w:spacing w:line="360" w:lineRule="auto"/>
        <w:rPr>
          <w:rFonts w:ascii="宋体" w:hAnsi="宋体" w:cs="宋体"/>
          <w:sz w:val="24"/>
        </w:rPr>
      </w:pPr>
      <w:r>
        <w:rPr>
          <w:rFonts w:hint="eastAsia" w:ascii="宋体" w:hAnsi="宋体" w:cs="宋体"/>
          <w:sz w:val="24"/>
        </w:rPr>
        <w:t xml:space="preserve">    项目联系方式（询问）：1</w:t>
      </w:r>
      <w:r>
        <w:rPr>
          <w:rFonts w:ascii="宋体" w:hAnsi="宋体" w:cs="宋体"/>
          <w:sz w:val="24"/>
        </w:rPr>
        <w:t>5157385672</w:t>
      </w:r>
    </w:p>
    <w:p>
      <w:pPr>
        <w:spacing w:line="360" w:lineRule="auto"/>
        <w:rPr>
          <w:rFonts w:ascii="宋体" w:hAnsi="宋体" w:cs="宋体"/>
          <w:sz w:val="24"/>
        </w:rPr>
      </w:pPr>
      <w:r>
        <w:rPr>
          <w:rFonts w:hint="eastAsia" w:ascii="宋体" w:hAnsi="宋体" w:cs="宋体"/>
          <w:sz w:val="24"/>
        </w:rPr>
        <w:t xml:space="preserve">    质疑联系人： 高张燕</w:t>
      </w:r>
    </w:p>
    <w:p>
      <w:pPr>
        <w:spacing w:line="360" w:lineRule="auto"/>
        <w:rPr>
          <w:rFonts w:ascii="宋体" w:hAnsi="宋体" w:cs="宋体"/>
          <w:sz w:val="24"/>
        </w:rPr>
      </w:pPr>
      <w:r>
        <w:rPr>
          <w:rFonts w:hint="eastAsia" w:ascii="宋体" w:hAnsi="宋体" w:cs="宋体"/>
          <w:sz w:val="24"/>
        </w:rPr>
        <w:t xml:space="preserve">    质疑联系方式：1</w:t>
      </w:r>
      <w:r>
        <w:rPr>
          <w:rFonts w:ascii="宋体" w:hAnsi="宋体" w:cs="宋体"/>
          <w:sz w:val="24"/>
        </w:rPr>
        <w:t>5157400827</w:t>
      </w:r>
    </w:p>
    <w:p>
      <w:pPr>
        <w:spacing w:line="360" w:lineRule="auto"/>
        <w:rPr>
          <w:rFonts w:ascii="宋体" w:hAnsi="宋体" w:cs="宋体"/>
          <w:sz w:val="24"/>
        </w:rPr>
      </w:pPr>
      <w:r>
        <w:rPr>
          <w:rFonts w:hint="eastAsia" w:ascii="宋体" w:hAnsi="宋体" w:cs="宋体"/>
          <w:sz w:val="24"/>
        </w:rPr>
        <w:t xml:space="preserve">    3.同级政府采购监督管理部门            </w:t>
      </w:r>
    </w:p>
    <w:p>
      <w:pPr>
        <w:spacing w:line="360" w:lineRule="auto"/>
        <w:ind w:firstLine="480"/>
        <w:rPr>
          <w:rFonts w:ascii="宋体" w:hAnsi="宋体" w:cs="宋体"/>
          <w:sz w:val="24"/>
        </w:rPr>
      </w:pPr>
      <w:r>
        <w:rPr>
          <w:rFonts w:hint="eastAsia" w:ascii="宋体" w:hAnsi="宋体" w:cs="宋体"/>
          <w:sz w:val="24"/>
        </w:rPr>
        <w:t>名    称：嘉兴市财政局</w:t>
      </w:r>
    </w:p>
    <w:p>
      <w:pPr>
        <w:spacing w:line="360" w:lineRule="auto"/>
        <w:ind w:firstLine="480"/>
        <w:rPr>
          <w:rFonts w:ascii="宋体" w:hAnsi="宋体" w:cs="宋体"/>
          <w:sz w:val="24"/>
        </w:rPr>
      </w:pPr>
      <w:r>
        <w:rPr>
          <w:rFonts w:hint="eastAsia" w:ascii="宋体" w:hAnsi="宋体" w:cs="宋体"/>
          <w:sz w:val="24"/>
        </w:rPr>
        <w:t xml:space="preserve">地    址：嘉兴市南湖区环城西路55号 </w:t>
      </w:r>
    </w:p>
    <w:p>
      <w:pPr>
        <w:spacing w:line="360" w:lineRule="auto"/>
        <w:rPr>
          <w:rFonts w:ascii="宋体" w:hAnsi="宋体" w:cs="宋体"/>
          <w:sz w:val="24"/>
        </w:rPr>
      </w:pPr>
      <w:r>
        <w:rPr>
          <w:rFonts w:hint="eastAsia" w:ascii="宋体" w:hAnsi="宋体" w:cs="宋体"/>
          <w:sz w:val="24"/>
        </w:rPr>
        <w:t xml:space="preserve">    传    真： /</w:t>
      </w:r>
    </w:p>
    <w:p>
      <w:pPr>
        <w:spacing w:line="360" w:lineRule="auto"/>
        <w:rPr>
          <w:rFonts w:ascii="宋体" w:hAnsi="宋体" w:cs="宋体"/>
          <w:sz w:val="24"/>
        </w:rPr>
      </w:pPr>
      <w:r>
        <w:rPr>
          <w:rFonts w:hint="eastAsia" w:ascii="宋体" w:hAnsi="宋体" w:cs="宋体"/>
          <w:sz w:val="24"/>
        </w:rPr>
        <w:t xml:space="preserve">    联系人 ：姚先生</w:t>
      </w:r>
    </w:p>
    <w:p>
      <w:pPr>
        <w:spacing w:line="360" w:lineRule="auto"/>
        <w:ind w:firstLine="480"/>
        <w:rPr>
          <w:rFonts w:ascii="宋体" w:hAnsi="宋体" w:cs="宋体"/>
          <w:sz w:val="24"/>
        </w:rPr>
      </w:pPr>
      <w:r>
        <w:rPr>
          <w:rFonts w:hint="eastAsia" w:ascii="宋体" w:hAnsi="宋体" w:cs="宋体"/>
          <w:sz w:val="24"/>
        </w:rPr>
        <w:t xml:space="preserve">监督投诉电话：电话：0573-82031217 </w:t>
      </w:r>
    </w:p>
    <w:p>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pPr>
        <w:spacing w:line="360" w:lineRule="auto"/>
        <w:ind w:firstLine="480" w:firstLineChars="200"/>
        <w:rPr>
          <w:rFonts w:ascii="宋体" w:hAnsi="宋体" w:cs="宋体"/>
          <w:sz w:val="24"/>
        </w:rPr>
      </w:pPr>
      <w:r>
        <w:rPr>
          <w:rFonts w:hint="eastAsia" w:ascii="宋体" w:hAnsi="宋体" w:cs="宋体"/>
          <w:sz w:val="24"/>
        </w:rPr>
        <w:t>CA问题联系电话（人工）：汇信CA 400-888-4636；天谷CA 400-087-8198。</w:t>
      </w:r>
    </w:p>
    <w:p>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blHead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r>
              <w:rPr>
                <w:rFonts w:hint="eastAsia" w:ascii="宋体" w:hAnsi="宋体" w:cs="宋体"/>
                <w:sz w:val="24"/>
              </w:rPr>
              <w:t>货物类，</w:t>
            </w:r>
            <w:r>
              <w:rPr>
                <w:rFonts w:hint="eastAsia" w:ascii="宋体" w:hAnsi="宋体" w:cs="宋体"/>
                <w:kern w:val="0"/>
                <w:sz w:val="24"/>
              </w:rPr>
              <w:t>核心产品为：</w:t>
            </w:r>
            <w:r>
              <w:rPr>
                <w:rFonts w:hint="eastAsia" w:ascii="宋体" w:hAnsi="宋体" w:cs="宋体"/>
                <w:kern w:val="0"/>
                <w:sz w:val="24"/>
                <w:u w:val="single"/>
              </w:rPr>
              <w:t xml:space="preserve">  /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55" w:hRule="atLeast"/>
          <w:tblHead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kern w:val="0"/>
                <w:sz w:val="24"/>
              </w:rPr>
            </w:pPr>
            <w:r>
              <w:rPr>
                <w:rFonts w:hint="eastAsia" w:ascii="宋体" w:hAnsi="宋体" w:cs="宋体"/>
                <w:kern w:val="0"/>
                <w:sz w:val="24"/>
              </w:rPr>
              <w:t>标的：</w:t>
            </w:r>
          </w:p>
          <w:p>
            <w:pPr>
              <w:snapToGrid w:val="0"/>
              <w:spacing w:line="360" w:lineRule="auto"/>
              <w:rPr>
                <w:rFonts w:ascii="宋体" w:hAnsi="宋体" w:cs="宋体"/>
              </w:rPr>
            </w:pPr>
            <w:r>
              <w:rPr>
                <w:rFonts w:hint="eastAsia" w:ascii="宋体" w:hAnsi="宋体" w:cs="宋体"/>
                <w:kern w:val="0"/>
                <w:sz w:val="24"/>
              </w:rPr>
              <w:t>嘉兴技师学院一体化可视设备采购项目，属于</w:t>
            </w:r>
            <w:r>
              <w:rPr>
                <w:rFonts w:hint="eastAsia" w:ascii="宋体" w:hAnsi="宋体" w:cs="宋体"/>
                <w:kern w:val="0"/>
                <w:sz w:val="24"/>
                <w:u w:val="single"/>
              </w:rPr>
              <w:t>制造</w:t>
            </w:r>
            <w:r>
              <w:rPr>
                <w:rFonts w:hint="eastAsia" w:ascii="宋体" w:hAnsi="宋体" w:cs="宋体"/>
                <w:kern w:val="0"/>
                <w:sz w:val="24"/>
              </w:rPr>
              <w:t>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05" w:hRule="atLeast"/>
          <w:tblHead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kern w:val="0"/>
                <w:sz w:val="24"/>
              </w:rPr>
            </w:pPr>
            <w:sdt>
              <w:sdtPr>
                <w:rPr>
                  <w:rFonts w:hint="eastAsia" w:ascii="宋体" w:hAnsi="宋体" w:cs="宋体"/>
                  <w:kern w:val="0"/>
                  <w:sz w:val="24"/>
                </w:rPr>
                <w:id w:val="-1828425707"/>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pPr>
              <w:spacing w:line="360" w:lineRule="auto"/>
              <w:rPr>
                <w:rFonts w:ascii="宋体" w:hAnsi="宋体" w:cs="宋体"/>
              </w:rPr>
            </w:pPr>
            <w:sdt>
              <w:sdtPr>
                <w:rPr>
                  <w:rFonts w:hint="eastAsia" w:ascii="宋体" w:hAnsi="宋体" w:cs="宋体"/>
                  <w:kern w:val="0"/>
                  <w:sz w:val="24"/>
                </w:rPr>
                <w:id w:val="-52852824"/>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w:t>
            </w:r>
            <w:r>
              <w:rPr>
                <w:rFonts w:hint="eastAsia" w:ascii="宋体" w:hAnsi="宋体" w:cs="宋体"/>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8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477286927"/>
              </w:sdtPr>
              <w:sdtEndPr>
                <w:rPr>
                  <w:rFonts w:hint="eastAsia" w:ascii="宋体" w:hAnsi="宋体" w:cs="宋体"/>
                  <w:kern w:val="0"/>
                  <w:sz w:val="24"/>
                </w:rPr>
              </w:sdtEndPr>
              <w:sdtContent>
                <w:r>
                  <w:rPr>
                    <w:rFonts w:ascii="MS Gothic" w:hAnsi="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w:t>
            </w:r>
            <w:r>
              <w:rPr>
                <w:rFonts w:hint="eastAsia" w:ascii="宋体" w:hAnsi="宋体" w:cs="宋体"/>
                <w:sz w:val="24"/>
              </w:rPr>
              <w:t>工作分包。</w:t>
            </w:r>
            <w:sdt>
              <w:sdtPr>
                <w:rPr>
                  <w:rFonts w:hint="eastAsia" w:ascii="宋体" w:hAnsi="宋体" w:cs="宋体"/>
                  <w:kern w:val="0"/>
                  <w:sz w:val="24"/>
                </w:rPr>
                <w:id w:val="-1276331357"/>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 xml:space="preserve"> B</w:t>
            </w:r>
            <w:r>
              <w:rPr>
                <w:rFonts w:hint="eastAsia" w:ascii="宋体" w:hAnsi="宋体" w:cs="宋体"/>
                <w:sz w:val="24"/>
              </w:rPr>
              <w:t>不同意分包。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55" w:hRule="atLeast"/>
          <w:tblHead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212966419"/>
              </w:sdtPr>
              <w:sdtEndPr>
                <w:rPr>
                  <w:rFonts w:hint="eastAsia" w:ascii="宋体" w:hAnsi="宋体" w:cs="宋体"/>
                  <w:kern w:val="0"/>
                  <w:sz w:val="24"/>
                </w:rPr>
              </w:sdtEndPr>
              <w:sdtContent>
                <w:r>
                  <w:rPr>
                    <w:rFonts w:ascii="Wingdings" w:hAnsi="Wingdings" w:eastAsia="MS Gothic" w:cs="宋体"/>
                    <w:kern w:val="0"/>
                    <w:sz w:val="24"/>
                  </w:rPr>
                  <w:sym w:font="Wingdings" w:char="00A8"/>
                </w:r>
              </w:sdtContent>
            </w:sdt>
            <w:r>
              <w:rPr>
                <w:rFonts w:hint="eastAsia" w:ascii="宋体" w:hAnsi="宋体" w:cs="宋体"/>
                <w:kern w:val="0"/>
                <w:sz w:val="24"/>
              </w:rPr>
              <w:t>A</w:t>
            </w:r>
            <w:r>
              <w:rPr>
                <w:rFonts w:hint="eastAsia" w:ascii="宋体" w:hAnsi="宋体" w:cs="宋体"/>
                <w:sz w:val="24"/>
              </w:rPr>
              <w:t>不组织。</w:t>
            </w:r>
          </w:p>
          <w:p>
            <w:pPr>
              <w:spacing w:line="360" w:lineRule="auto"/>
              <w:rPr>
                <w:rFonts w:ascii="宋体" w:hAnsi="宋体" w:cs="宋体"/>
                <w:sz w:val="24"/>
                <w:szCs w:val="20"/>
              </w:rPr>
            </w:pPr>
            <w:sdt>
              <w:sdtPr>
                <w:rPr>
                  <w:rFonts w:hint="eastAsia" w:ascii="宋体" w:hAnsi="宋体" w:cs="宋体"/>
                  <w:kern w:val="0"/>
                  <w:sz w:val="24"/>
                </w:rPr>
                <w:id w:val="-999802974"/>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1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639946486"/>
                <w:showingPlcHdr/>
              </w:sdtPr>
              <w:sdtEndPr>
                <w:rPr>
                  <w:rFonts w:hint="eastAsia" w:ascii="宋体" w:hAnsi="宋体" w:cs="宋体"/>
                  <w:kern w:val="0"/>
                  <w:sz w:val="24"/>
                </w:rPr>
              </w:sdtEndPr>
              <w:sdtContent/>
            </w:sdt>
            <w:r>
              <w:rPr>
                <w:rFonts w:ascii="Wingdings" w:hAnsi="Wingdings" w:eastAsia="MS Gothic" w:cs="宋体"/>
                <w:kern w:val="0"/>
                <w:sz w:val="24"/>
              </w:rPr>
              <w:sym w:font="Wingdings" w:char="00FE"/>
            </w:r>
            <w:r>
              <w:rPr>
                <w:rFonts w:hint="eastAsia" w:ascii="宋体" w:hAnsi="宋体" w:cs="宋体"/>
                <w:kern w:val="0"/>
                <w:sz w:val="24"/>
              </w:rPr>
              <w:t>A</w:t>
            </w:r>
            <w:r>
              <w:rPr>
                <w:rFonts w:hint="eastAsia" w:ascii="宋体" w:hAnsi="宋体" w:cs="宋体"/>
                <w:sz w:val="24"/>
              </w:rPr>
              <w:t>不要求提供。</w:t>
            </w:r>
          </w:p>
          <w:p>
            <w:pPr>
              <w:spacing w:line="360" w:lineRule="auto"/>
              <w:rPr>
                <w:rFonts w:ascii="宋体" w:hAnsi="宋体" w:cs="宋体"/>
                <w:b/>
                <w:sz w:val="24"/>
              </w:rPr>
            </w:pPr>
            <w:r>
              <w:rPr>
                <w:rFonts w:ascii="Wingdings" w:hAnsi="Wingdings" w:eastAsia="MS Gothic" w:cs="宋体"/>
                <w:kern w:val="0"/>
                <w:sz w:val="24"/>
              </w:rPr>
              <w:sym w:font="Wingdings" w:char="00A8"/>
            </w:r>
            <w:r>
              <w:rPr>
                <w:rFonts w:hint="eastAsia" w:ascii="宋体" w:hAnsi="宋体" w:cs="宋体"/>
                <w:kern w:val="0"/>
                <w:sz w:val="24"/>
              </w:rPr>
              <w:t>B要求提供。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10" w:hRule="atLeast"/>
          <w:tblHead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859348549"/>
              </w:sdtPr>
              <w:sdtEndPr>
                <w:rPr>
                  <w:rFonts w:hint="eastAsia" w:ascii="宋体" w:hAnsi="宋体" w:cs="宋体"/>
                  <w:kern w:val="0"/>
                  <w:sz w:val="24"/>
                </w:rPr>
              </w:sdtEndPr>
              <w:sdtContent>
                <w:r>
                  <w:rPr>
                    <w:rFonts w:ascii="Wingdings" w:hAnsi="Wingdings" w:eastAsia="MS Gothic" w:cs="宋体"/>
                    <w:kern w:val="0"/>
                    <w:sz w:val="24"/>
                  </w:rPr>
                  <w:sym w:font="Wingdings" w:char="00A8"/>
                </w:r>
              </w:sdtContent>
            </w:sdt>
            <w:r>
              <w:rPr>
                <w:rFonts w:hint="eastAsia" w:ascii="宋体" w:hAnsi="宋体" w:cs="宋体"/>
                <w:kern w:val="0"/>
                <w:sz w:val="24"/>
              </w:rPr>
              <w:t>A</w:t>
            </w:r>
            <w:r>
              <w:rPr>
                <w:rFonts w:hint="eastAsia" w:ascii="宋体" w:hAnsi="宋体" w:cs="宋体"/>
                <w:sz w:val="24"/>
              </w:rPr>
              <w:t>不组织。</w:t>
            </w:r>
          </w:p>
          <w:p>
            <w:pPr>
              <w:spacing w:line="360" w:lineRule="auto"/>
              <w:rPr>
                <w:rFonts w:ascii="宋体" w:hAnsi="宋体" w:cs="宋体"/>
                <w:kern w:val="0"/>
                <w:sz w:val="24"/>
              </w:rPr>
            </w:pPr>
            <w:sdt>
              <w:sdtPr>
                <w:rPr>
                  <w:rFonts w:hint="eastAsia" w:ascii="宋体" w:hAnsi="宋体" w:cs="宋体"/>
                  <w:kern w:val="0"/>
                  <w:sz w:val="24"/>
                </w:rPr>
                <w:id w:val="1174071719"/>
              </w:sdtPr>
              <w:sdtEndPr>
                <w:rPr>
                  <w:rFonts w:hint="eastAsia" w:ascii="宋体" w:hAnsi="宋体" w:cs="宋体"/>
                  <w:kern w:val="0"/>
                  <w:sz w:val="24"/>
                </w:rPr>
              </w:sdtEndPr>
              <w:sdtContent>
                <w:sdt>
                  <w:sdtPr>
                    <w:rPr>
                      <w:rFonts w:hint="eastAsia" w:ascii="宋体" w:hAnsi="宋体" w:cs="宋体"/>
                      <w:kern w:val="0"/>
                      <w:sz w:val="24"/>
                    </w:rPr>
                    <w:id w:val="1026831988"/>
                  </w:sdtPr>
                  <w:sdtEndPr>
                    <w:rPr>
                      <w:rFonts w:hint="eastAsia" w:ascii="宋体" w:hAnsi="宋体" w:cs="宋体"/>
                      <w:kern w:val="0"/>
                      <w:sz w:val="24"/>
                    </w:rPr>
                  </w:sdtEndPr>
                  <w:sdtContent>
                    <w:r>
                      <w:rPr>
                        <w:rFonts w:ascii="Wingdings" w:hAnsi="Wingdings" w:eastAsia="MS Gothic" w:cs="宋体"/>
                        <w:kern w:val="0"/>
                        <w:sz w:val="24"/>
                      </w:rPr>
                      <w:sym w:font="Wingdings" w:char="00FE"/>
                    </w:r>
                  </w:sdtContent>
                </w:sdt>
                <w:r>
                  <w:rPr>
                    <w:rFonts w:hint="eastAsia" w:ascii="宋体" w:hAnsi="宋体" w:cs="宋体"/>
                    <w:kern w:val="0"/>
                    <w:sz w:val="24"/>
                  </w:rPr>
                  <w:t>B</w:t>
                </w:r>
              </w:sdtContent>
            </w:sdt>
            <w:r>
              <w:rPr>
                <w:rFonts w:hint="eastAsia" w:ascii="宋体" w:hAnsi="宋体" w:cs="宋体"/>
                <w:kern w:val="0"/>
                <w:sz w:val="24"/>
              </w:rPr>
              <w:t>组织。</w:t>
            </w:r>
          </w:p>
          <w:p>
            <w:pPr>
              <w:snapToGrid w:val="0"/>
              <w:spacing w:line="360" w:lineRule="auto"/>
              <w:rPr>
                <w:rFonts w:ascii="宋体" w:hAnsi="宋体" w:cs="宋体"/>
                <w:kern w:val="0"/>
                <w:sz w:val="24"/>
              </w:rPr>
            </w:pPr>
            <w:r>
              <w:rPr>
                <w:rFonts w:hint="eastAsia" w:ascii="宋体" w:hAnsi="宋体" w:cs="宋体"/>
                <w:kern w:val="0"/>
                <w:sz w:val="24"/>
              </w:rPr>
              <w:t>1、在评标时安排每个投标人进行系统演示。每个投标人时间不超</w:t>
            </w:r>
            <w:r>
              <w:rPr>
                <w:rFonts w:hint="eastAsia" w:ascii="宋体" w:hAnsi="宋体" w:cs="宋体"/>
                <w:kern w:val="0"/>
                <w:sz w:val="24"/>
                <w:u w:val="single"/>
              </w:rPr>
              <w:t>15</w:t>
            </w:r>
            <w:r>
              <w:rPr>
                <w:rFonts w:hint="eastAsia" w:ascii="宋体" w:hAnsi="宋体" w:cs="宋体"/>
                <w:kern w:val="0"/>
                <w:sz w:val="24"/>
              </w:rPr>
              <w:t>分钟，讲解次序以投标文件解密时间先后次序为准。讲解演示结束后按要求解答评标委员会提问。</w:t>
            </w:r>
          </w:p>
          <w:p>
            <w:pPr>
              <w:snapToGrid w:val="0"/>
              <w:spacing w:line="360" w:lineRule="auto"/>
              <w:rPr>
                <w:rFonts w:ascii="宋体" w:hAnsi="宋体" w:cs="宋体"/>
                <w:kern w:val="0"/>
                <w:sz w:val="24"/>
              </w:rPr>
            </w:pPr>
            <w:r>
              <w:rPr>
                <w:rFonts w:hint="eastAsia" w:ascii="宋体" w:hAnsi="宋体" w:cs="宋体"/>
                <w:kern w:val="0"/>
                <w:sz w:val="24"/>
              </w:rPr>
              <w:t>2、系统演示按以下方式：</w:t>
            </w:r>
          </w:p>
          <w:p>
            <w:pPr>
              <w:pStyle w:val="3"/>
              <w:ind w:left="0" w:firstLine="0"/>
              <w:jc w:val="both"/>
              <w:rPr>
                <w:rFonts w:ascii="宋体" w:hAnsi="宋体" w:eastAsia="宋体" w:cs="宋体"/>
                <w:b w:val="0"/>
                <w:bCs w:val="0"/>
                <w:kern w:val="0"/>
                <w:sz w:val="24"/>
                <w:szCs w:val="24"/>
                <w:lang w:val="en-US"/>
              </w:rPr>
            </w:pPr>
            <w:r>
              <w:rPr>
                <w:rFonts w:hint="eastAsia" w:ascii="宋体" w:hAnsi="宋体" w:eastAsia="宋体" w:cs="宋体"/>
                <w:b w:val="0"/>
                <w:bCs w:val="0"/>
                <w:sz w:val="24"/>
                <w:szCs w:val="24"/>
                <w:lang w:val="en-US"/>
              </w:rPr>
              <w:t>演示</w:t>
            </w:r>
            <w:r>
              <w:rPr>
                <w:rFonts w:hint="eastAsia" w:ascii="宋体" w:hAnsi="宋体" w:eastAsia="宋体" w:cs="宋体"/>
                <w:b w:val="0"/>
                <w:bCs w:val="0"/>
                <w:sz w:val="24"/>
                <w:szCs w:val="24"/>
              </w:rPr>
              <w:t>文件存储在U盘中，开标前邮寄至采购代理；邮寄要求：单独密封加盖单位公章并在封面标明项目名称、项目编号、单位全称</w:t>
            </w:r>
            <w:r>
              <w:rPr>
                <w:rFonts w:hint="eastAsia" w:ascii="宋体" w:hAnsi="宋体" w:eastAsia="宋体" w:cs="宋体"/>
                <w:sz w:val="24"/>
                <w:szCs w:val="24"/>
              </w:rPr>
              <w:t>。</w:t>
            </w:r>
            <w:bookmarkStart w:id="553" w:name="_GoBack"/>
            <w:bookmarkEnd w:id="553"/>
          </w:p>
          <w:p>
            <w:pPr>
              <w:pStyle w:val="3"/>
              <w:ind w:left="0" w:firstLine="0"/>
              <w:jc w:val="both"/>
              <w:rPr>
                <w:rFonts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地址：嘉兴市建新工程造价咨询事务所有限公司三楼32</w:t>
            </w:r>
            <w:r>
              <w:rPr>
                <w:rFonts w:hint="eastAsia" w:ascii="宋体" w:hAnsi="宋体" w:eastAsia="宋体" w:cs="宋体"/>
                <w:b w:val="0"/>
                <w:bCs w:val="0"/>
                <w:kern w:val="0"/>
                <w:sz w:val="24"/>
                <w:szCs w:val="24"/>
                <w:lang w:val="en-US" w:eastAsia="zh-CN"/>
              </w:rPr>
              <w:t>3</w:t>
            </w:r>
            <w:r>
              <w:rPr>
                <w:rFonts w:hint="eastAsia" w:ascii="宋体" w:hAnsi="宋体" w:eastAsia="宋体" w:cs="宋体"/>
                <w:b w:val="0"/>
                <w:bCs w:val="0"/>
                <w:kern w:val="0"/>
                <w:sz w:val="24"/>
                <w:szCs w:val="24"/>
                <w:lang w:val="en-US"/>
              </w:rPr>
              <w:t>室（会展路207号嘉宇商务楼3楼）。联系人及电话：陆燕 15157385672</w:t>
            </w:r>
          </w:p>
          <w:p>
            <w:pPr>
              <w:pStyle w:val="3"/>
            </w:pPr>
            <w:r>
              <w:rPr>
                <w:rFonts w:hint="eastAsia" w:ascii="宋体" w:hAnsi="宋体" w:cs="宋体"/>
                <w:kern w:val="0"/>
                <w:sz w:val="24"/>
              </w:rPr>
              <w:t>注：因投标人自身原因导致无法演示或者演示效果不理想的，责任自负。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z w:val="24"/>
              </w:rPr>
            </w:pPr>
            <w:r>
              <w:rPr>
                <w:rFonts w:hint="eastAsia" w:ascii="宋体" w:hAnsi="宋体" w:cs="宋体"/>
                <w:sz w:val="24"/>
              </w:rPr>
              <w:t>（1）资格证明文件：见招标文件第二部分11.1。</w:t>
            </w:r>
          </w:p>
          <w:p>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95" w:hRule="atLeast"/>
          <w:tblHeader/>
        </w:trPr>
        <w:tc>
          <w:tcPr>
            <w:tcW w:w="629" w:type="dxa"/>
            <w:vMerge w:val="continue"/>
            <w:tcBorders>
              <w:left w:val="single" w:color="auto" w:sz="4" w:space="0"/>
              <w:bottom w:val="single" w:color="auto" w:sz="4" w:space="0"/>
              <w:right w:val="single" w:color="auto" w:sz="4" w:space="0"/>
            </w:tcBorders>
          </w:tcPr>
          <w:p>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r>
              <w:rPr>
                <w:rFonts w:hint="eastAsia" w:ascii="宋体" w:hAnsi="宋体" w:cs="宋体"/>
                <w:sz w:val="24"/>
              </w:rPr>
              <w:t>（2）资信证明文件：根据招标文件第四部分评标标准提供。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p>
          <w:p>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投标报价出现下列情形的，投标无效：</w:t>
            </w:r>
          </w:p>
          <w:p>
            <w:pPr>
              <w:snapToGrid w:val="0"/>
              <w:spacing w:line="360" w:lineRule="auto"/>
              <w:ind w:firstLine="241" w:firstLineChars="100"/>
              <w:jc w:val="left"/>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pPr>
              <w:snapToGrid w:val="0"/>
              <w:spacing w:line="360" w:lineRule="auto"/>
              <w:ind w:firstLine="241" w:firstLineChars="100"/>
              <w:jc w:val="left"/>
              <w:rPr>
                <w:rFonts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pPr>
              <w:spacing w:line="360" w:lineRule="auto"/>
              <w:ind w:firstLine="241" w:firstLineChars="100"/>
              <w:rPr>
                <w:rFonts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pPr>
              <w:spacing w:line="360" w:lineRule="auto"/>
              <w:ind w:firstLine="241" w:firstLineChars="100"/>
              <w:rPr>
                <w:rFonts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67" w:hRule="atLeast"/>
          <w:tblHead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sz w:val="24"/>
              </w:rPr>
            </w:pPr>
          </w:p>
          <w:p>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pStyle w:val="34"/>
              <w:spacing w:line="360" w:lineRule="auto"/>
              <w:rPr>
                <w:rFonts w:hAnsi="宋体" w:cs="宋体"/>
                <w:kern w:val="28"/>
                <w:sz w:val="24"/>
              </w:rPr>
            </w:pPr>
            <w:r>
              <w:rPr>
                <w:rFonts w:hint="eastAsia" w:hAnsi="宋体" w:cs="宋体"/>
                <w:kern w:val="28"/>
                <w:sz w:val="24"/>
                <w:szCs w:val="24"/>
              </w:rPr>
              <w:t>备份投标文件送达地点：</w:t>
            </w:r>
            <w:r>
              <w:rPr>
                <w:rFonts w:hint="eastAsia" w:hAnsi="宋体" w:cs="宋体"/>
                <w:sz w:val="24"/>
                <w:u w:val="single"/>
              </w:rPr>
              <w:t>嘉兴市建新工程造价咨询事务所有限公司三楼323室</w:t>
            </w:r>
            <w:r>
              <w:rPr>
                <w:rFonts w:hint="eastAsia" w:hAnsi="宋体" w:cs="宋体"/>
                <w:kern w:val="28"/>
                <w:sz w:val="24"/>
                <w:szCs w:val="24"/>
              </w:rPr>
              <w:t>；备份投标文件签收人员联系电话：</w:t>
            </w:r>
            <w:r>
              <w:rPr>
                <w:rFonts w:hint="eastAsia" w:hAnsi="宋体" w:cs="宋体"/>
                <w:kern w:val="28"/>
                <w:sz w:val="24"/>
                <w:szCs w:val="24"/>
                <w:u w:val="single"/>
              </w:rPr>
              <w:t>陆燕，15157385672</w:t>
            </w:r>
            <w:r>
              <w:rPr>
                <w:rFonts w:hint="eastAsia" w:hAnsi="宋体" w:cs="宋体"/>
                <w:sz w:val="24"/>
                <w:szCs w:val="24"/>
              </w:rPr>
              <w:t>。</w:t>
            </w:r>
            <w:r>
              <w:rPr>
                <w:rFonts w:hint="eastAsia" w:hAnsi="宋体" w:cs="宋体"/>
                <w:b/>
                <w:sz w:val="24"/>
                <w:szCs w:val="24"/>
              </w:rPr>
              <w:t>不强制投标人提交备份投标文件。</w:t>
            </w:r>
          </w:p>
        </w:tc>
      </w:tr>
    </w:tbl>
    <w:p>
      <w:pPr>
        <w:snapToGrid w:val="0"/>
        <w:spacing w:line="360" w:lineRule="auto"/>
        <w:jc w:val="center"/>
        <w:rPr>
          <w:rFonts w:ascii="宋体" w:hAnsi="宋体" w:cs="宋体"/>
          <w:b/>
          <w:sz w:val="32"/>
          <w:szCs w:val="20"/>
        </w:rPr>
      </w:pPr>
    </w:p>
    <w:bookmarkEnd w:id="10"/>
    <w:p>
      <w:pPr>
        <w:adjustRightInd/>
        <w:spacing w:line="360" w:lineRule="auto"/>
        <w:ind w:firstLine="3845" w:firstLineChars="1197"/>
        <w:outlineLvl w:val="0"/>
        <w:rPr>
          <w:rFonts w:ascii="宋体" w:hAnsi="宋体" w:cs="宋体"/>
          <w:b/>
          <w:sz w:val="32"/>
          <w:szCs w:val="20"/>
        </w:rPr>
      </w:pPr>
      <w:bookmarkStart w:id="13" w:name="第三部分"/>
      <w:bookmarkStart w:id="14" w:name="_Toc164416483"/>
      <w:r>
        <w:rPr>
          <w:rFonts w:hint="eastAsia" w:ascii="宋体" w:hAnsi="宋体" w:cs="宋体"/>
          <w:b/>
          <w:sz w:val="32"/>
          <w:szCs w:val="20"/>
        </w:rPr>
        <w:t>一、总则</w:t>
      </w:r>
    </w:p>
    <w:p>
      <w:pPr>
        <w:snapToGrid w:val="0"/>
        <w:spacing w:line="360" w:lineRule="auto"/>
        <w:ind w:firstLine="361" w:firstLineChars="150"/>
        <w:jc w:val="left"/>
        <w:outlineLvl w:val="1"/>
        <w:rPr>
          <w:rFonts w:ascii="宋体" w:hAnsi="宋体" w:cs="宋体"/>
          <w:b/>
          <w:sz w:val="24"/>
        </w:rPr>
      </w:pPr>
      <w:r>
        <w:rPr>
          <w:rFonts w:hint="eastAsia" w:ascii="宋体" w:hAnsi="宋体" w:cs="宋体"/>
          <w:b/>
          <w:sz w:val="24"/>
        </w:rPr>
        <w:t>1. 适用范围</w:t>
      </w:r>
    </w:p>
    <w:p>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pPr>
        <w:adjustRightInd/>
        <w:spacing w:line="360" w:lineRule="auto"/>
        <w:outlineLvl w:val="0"/>
        <w:rPr>
          <w:rFonts w:ascii="宋体" w:hAnsi="宋体" w:cs="宋体"/>
          <w:b/>
          <w:sz w:val="24"/>
        </w:rPr>
      </w:pPr>
      <w:r>
        <w:rPr>
          <w:rFonts w:hint="eastAsia" w:ascii="宋体" w:hAnsi="宋体" w:cs="宋体"/>
          <w:b/>
          <w:sz w:val="24"/>
        </w:rPr>
        <w:t xml:space="preserve">   2.定义</w:t>
      </w:r>
    </w:p>
    <w:p>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w:t>
      </w:r>
    </w:p>
    <w:p>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2.6“电子交易平台”系指本项目政府采购活动所依托的政府采购云平台（https://www.zcygov.cn/）。</w:t>
      </w:r>
    </w:p>
    <w:p>
      <w:pPr>
        <w:spacing w:line="360" w:lineRule="auto"/>
        <w:ind w:firstLine="480" w:firstLineChars="200"/>
        <w:rPr>
          <w:rFonts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pPr>
        <w:spacing w:line="360" w:lineRule="auto"/>
        <w:ind w:firstLine="241" w:firstLineChars="100"/>
        <w:rPr>
          <w:rFonts w:ascii="宋体" w:hAnsi="宋体" w:cs="宋体"/>
          <w:b/>
          <w:sz w:val="24"/>
        </w:rPr>
      </w:pPr>
      <w:r>
        <w:rPr>
          <w:rFonts w:hint="eastAsia" w:ascii="宋体" w:hAnsi="宋体" w:cs="宋体"/>
          <w:b/>
          <w:sz w:val="24"/>
        </w:rPr>
        <w:t>3.采购项目需要落实的政府采购政策</w:t>
      </w:r>
    </w:p>
    <w:p>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pPr>
        <w:spacing w:line="360" w:lineRule="auto"/>
        <w:ind w:firstLine="240" w:firstLineChars="100"/>
        <w:rPr>
          <w:rFonts w:ascii="宋体" w:hAnsi="宋体" w:cs="宋体"/>
          <w:sz w:val="24"/>
        </w:rPr>
      </w:pPr>
      <w:r>
        <w:rPr>
          <w:rFonts w:hint="eastAsia" w:ascii="宋体" w:hAnsi="宋体" w:cs="宋体"/>
          <w:sz w:val="24"/>
        </w:rPr>
        <w:t>3.2 支持绿色发展</w:t>
      </w:r>
    </w:p>
    <w:p>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w:t>
      </w:r>
    </w:p>
    <w:p>
      <w:pPr>
        <w:spacing w:line="360" w:lineRule="auto"/>
        <w:ind w:firstLine="480" w:firstLineChars="200"/>
        <w:rPr>
          <w:rFonts w:ascii="宋体" w:hAnsi="宋体" w:cs="宋体"/>
          <w:sz w:val="24"/>
        </w:rPr>
      </w:pPr>
      <w:r>
        <w:rPr>
          <w:rFonts w:hint="eastAsia" w:ascii="宋体" w:hAnsi="宋体" w:cs="宋体"/>
          <w:sz w:val="24"/>
        </w:rPr>
        <w:t>3.2.2 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ascii="宋体" w:hAnsi="宋体" w:cs="宋体"/>
          <w:color w:val="000000" w:themeColor="text1"/>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5" w:name="_Hlk107568539"/>
      <w:r>
        <w:rPr>
          <w:rFonts w:hint="eastAsia" w:ascii="宋体" w:hAnsi="宋体" w:cs="宋体"/>
          <w:color w:val="000000" w:themeColor="text1"/>
          <w:sz w:val="24"/>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sz w:val="24"/>
        </w:rPr>
      </w:pPr>
      <w:r>
        <w:rPr>
          <w:rFonts w:hint="eastAsia" w:ascii="宋体" w:hAnsi="宋体" w:cs="宋体"/>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5"/>
    </w:p>
    <w:p>
      <w:pPr>
        <w:spacing w:line="360" w:lineRule="auto"/>
        <w:ind w:firstLine="240" w:firstLineChars="100"/>
        <w:rPr>
          <w:rFonts w:ascii="宋体" w:hAnsi="宋体" w:cs="宋体"/>
          <w:sz w:val="24"/>
        </w:rPr>
      </w:pPr>
      <w:r>
        <w:rPr>
          <w:rFonts w:hint="eastAsia" w:ascii="宋体" w:hAnsi="宋体" w:cs="宋体"/>
          <w:sz w:val="24"/>
        </w:rPr>
        <w:t>3.3支持中小企业发展</w:t>
      </w:r>
    </w:p>
    <w:p>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3.3.3对于未预留份额专门面向中小企业的政府采购货物项目，以及预留份额政府采购货物项目中的非预留部分标项，对小型和微型企业的投标报价给予1</w:t>
      </w:r>
      <w:r>
        <w:rPr>
          <w:rFonts w:ascii="宋体" w:hAnsi="宋体" w:cs="宋体"/>
          <w:sz w:val="24"/>
        </w:rPr>
        <w:t>0</w:t>
      </w:r>
      <w:r>
        <w:rPr>
          <w:rFonts w:hint="eastAsia" w:ascii="宋体" w:hAnsi="宋体" w:cs="宋体"/>
          <w:sz w:val="24"/>
        </w:rPr>
        <w:t>%的扣除，用扣除后的价格参与评审。接受大中型企业与小微企业组成联合体或者允许大中型企业向一家或者多家小微企业分包的政府采购货物项目，对于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cs="宋体"/>
          <w:sz w:val="24"/>
        </w:rPr>
        <w:t>联合协议或者分包意向协议约定小微企业的合同份额占到合同总金额30%以上的</w:t>
      </w:r>
      <w:bookmarkEnd w:id="16"/>
      <w:r>
        <w:rPr>
          <w:rFonts w:hint="eastAsia" w:ascii="宋体" w:hAnsi="宋体" w:cs="宋体"/>
          <w:sz w:val="24"/>
        </w:rPr>
        <w:t>，对联合体或者大中型企业的报价给予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240" w:firstLineChars="100"/>
        <w:rPr>
          <w:rFonts w:ascii="宋体" w:hAnsi="宋体" w:cs="宋体"/>
          <w:sz w:val="24"/>
        </w:rPr>
      </w:pPr>
      <w:r>
        <w:rPr>
          <w:rFonts w:hint="eastAsia" w:ascii="宋体" w:hAnsi="宋体" w:cs="宋体"/>
          <w:sz w:val="24"/>
        </w:rPr>
        <w:t>3.5平等对待内外资企业和符合条件的破产重整企业</w:t>
      </w:r>
    </w:p>
    <w:p>
      <w:pPr>
        <w:spacing w:line="360" w:lineRule="auto"/>
        <w:ind w:firstLine="480" w:firstLineChars="200"/>
        <w:rPr>
          <w:rFonts w:ascii="宋体" w:hAnsi="宋体" w:cs="宋体"/>
          <w:kern w:val="0"/>
          <w:sz w:val="24"/>
          <w:lang w:val="zh-CN"/>
        </w:rPr>
      </w:pPr>
      <w:r>
        <w:rPr>
          <w:rFonts w:hint="eastAsia" w:ascii="宋体" w:hAnsi="宋体" w:cs="宋体"/>
          <w:sz w:val="24"/>
        </w:rPr>
        <w:t>平等对待内外资企业和符合条件的破产重整企业，切实保障企业公平竞争，平等维护企业的合法利益。</w:t>
      </w:r>
      <w:r>
        <w:rPr>
          <w:rFonts w:hint="eastAsia" w:ascii="宋体" w:hAnsi="宋体" w:cs="宋体"/>
          <w:sz w:val="24"/>
        </w:rPr>
        <w:cr/>
      </w:r>
      <w:r>
        <w:rPr>
          <w:rFonts w:hint="eastAsia"/>
          <w:b/>
          <w:sz w:val="24"/>
        </w:rPr>
        <w:t>4. 询问、质疑、投诉</w:t>
      </w:r>
    </w:p>
    <w:p>
      <w:pPr>
        <w:pStyle w:val="888"/>
        <w:shd w:val="clear" w:color="auto" w:fill="FFFFFF"/>
        <w:snapToGrid w:val="0"/>
        <w:spacing w:before="120" w:after="240" w:afterAutospacing="0" w:line="360" w:lineRule="auto"/>
        <w:ind w:firstLine="400"/>
        <w:contextualSpacing/>
        <w:rPr>
          <w:lang w:val="zh-CN"/>
        </w:rPr>
      </w:pPr>
      <w:r>
        <w:rPr>
          <w:rFonts w:hint="eastAsia"/>
          <w:lang w:val="zh-CN"/>
        </w:rPr>
        <w:t>4.1在线询问、质疑、投诉</w:t>
      </w:r>
    </w:p>
    <w:p>
      <w:pPr>
        <w:pStyle w:val="888"/>
        <w:shd w:val="clear" w:color="auto" w:fill="FFFFFF"/>
        <w:snapToGrid w:val="0"/>
        <w:spacing w:before="120" w:after="240" w:afterAutospacing="0" w:line="360" w:lineRule="auto"/>
        <w:ind w:firstLine="400"/>
        <w:contextualSpacing/>
        <w:rPr>
          <w:lang w:val="zh-CN"/>
        </w:rPr>
      </w:pPr>
      <w:r>
        <w:rPr>
          <w:rFonts w:hint="eastAsia"/>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4.2供应商询问</w:t>
      </w:r>
    </w:p>
    <w:p>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pPr>
        <w:pStyle w:val="34"/>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　　4.3.3.1供应商的姓名或者名称、地址、邮编、联系人及联系电话；</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　　4.3.3.2质疑项目的名称、编号；</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　　4.3.3.3具体、明确的质疑事项和与质疑事项相关的请求；</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　　4.3.3.4事实依据；</w:t>
      </w:r>
    </w:p>
    <w:p>
      <w:pPr>
        <w:pStyle w:val="34"/>
        <w:spacing w:line="360" w:lineRule="auto"/>
        <w:ind w:firstLine="480" w:firstLineChars="200"/>
        <w:rPr>
          <w:rFonts w:hAnsi="宋体" w:cs="宋体"/>
          <w:kern w:val="0"/>
          <w:sz w:val="24"/>
          <w:lang w:val="zh-CN"/>
        </w:rPr>
      </w:pPr>
      <w:r>
        <w:rPr>
          <w:rFonts w:hint="eastAsia" w:hAnsi="宋体" w:cs="宋体"/>
          <w:kern w:val="0"/>
          <w:sz w:val="24"/>
          <w:lang w:val="zh-CN"/>
        </w:rPr>
        <w:t>　　4.3.3.5必要的法律依据；</w:t>
      </w:r>
    </w:p>
    <w:p>
      <w:pPr>
        <w:pStyle w:val="34"/>
        <w:spacing w:line="360" w:lineRule="auto"/>
        <w:ind w:firstLine="960" w:firstLineChars="400"/>
        <w:rPr>
          <w:rFonts w:hAnsi="宋体" w:cs="宋体"/>
          <w:kern w:val="0"/>
          <w:sz w:val="24"/>
          <w:lang w:val="zh-CN"/>
        </w:rPr>
      </w:pPr>
      <w:r>
        <w:rPr>
          <w:rFonts w:hint="eastAsia" w:hAnsi="宋体" w:cs="宋体"/>
          <w:kern w:val="0"/>
          <w:sz w:val="24"/>
          <w:lang w:val="zh-CN"/>
        </w:rPr>
        <w:t>4.3.3.6提出质疑的日期。</w:t>
      </w:r>
    </w:p>
    <w:p>
      <w:pPr>
        <w:pStyle w:val="888"/>
        <w:shd w:val="clear" w:color="auto" w:fill="FFFFFF"/>
        <w:snapToGrid w:val="0"/>
        <w:spacing w:before="120"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pPr>
        <w:pStyle w:val="888"/>
        <w:shd w:val="clear" w:color="auto" w:fill="FFFFFF"/>
        <w:snapToGrid w:val="0"/>
        <w:spacing w:before="120" w:after="240" w:afterAutospacing="0" w:line="360" w:lineRule="auto"/>
        <w:ind w:firstLine="400"/>
        <w:contextualSpacing/>
      </w:pPr>
      <w:r>
        <w:rPr>
          <w:rFonts w:hint="eastAsia"/>
        </w:rPr>
        <w:t>4.3.4对同一采购程序环节的质疑，供应商须在法定质疑期内一次性提出。</w:t>
      </w:r>
    </w:p>
    <w:p>
      <w:pPr>
        <w:pStyle w:val="888"/>
        <w:shd w:val="clear" w:color="auto" w:fill="FFFFFF"/>
        <w:snapToGrid w:val="0"/>
        <w:spacing w:before="120" w:after="240" w:afterAutospacing="0" w:line="360" w:lineRule="auto"/>
        <w:ind w:firstLine="4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w:t>
      </w:r>
    </w:p>
    <w:p>
      <w:pPr>
        <w:pStyle w:val="888"/>
        <w:shd w:val="clear" w:color="auto" w:fill="FFFFFF"/>
        <w:snapToGrid w:val="0"/>
        <w:spacing w:before="120" w:after="240" w:afterAutospacing="0" w:line="360" w:lineRule="auto"/>
        <w:ind w:firstLine="400"/>
        <w:contextualSpacing/>
      </w:pPr>
      <w:r>
        <w:rPr>
          <w:rFonts w:hint="eastAsia"/>
          <w:lang w:val="zh-CN"/>
        </w:rPr>
        <w:t>4.3</w:t>
      </w:r>
      <w:r>
        <w:rPr>
          <w:rFonts w:hint="eastAsia"/>
        </w:rPr>
        <w:t>.6询问或者质疑事项可能影响采购结果的，采购人应当暂停签订合同，已经签订合同的，应当中止履行合同。</w:t>
      </w:r>
    </w:p>
    <w:p>
      <w:pPr>
        <w:pStyle w:val="888"/>
        <w:shd w:val="clear" w:color="auto" w:fill="FFFFFF"/>
        <w:snapToGrid w:val="0"/>
        <w:spacing w:before="120" w:after="240" w:afterAutospacing="0" w:line="360" w:lineRule="auto"/>
        <w:ind w:firstLine="480" w:firstLineChars="200"/>
        <w:contextualSpacing/>
        <w:rPr>
          <w:lang w:val="zh-CN"/>
        </w:rPr>
      </w:pPr>
      <w:r>
        <w:rPr>
          <w:rFonts w:hint="eastAsia"/>
          <w:lang w:val="zh-CN"/>
        </w:rPr>
        <w:t>4.4供应商投诉</w:t>
      </w:r>
    </w:p>
    <w:p>
      <w:pPr>
        <w:pStyle w:val="888"/>
        <w:shd w:val="clear" w:color="auto" w:fill="FFFFFF"/>
        <w:snapToGrid w:val="0"/>
        <w:spacing w:before="120" w:after="240" w:afterAutospacing="0" w:line="360" w:lineRule="auto"/>
        <w:ind w:firstLine="4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pPr>
        <w:pStyle w:val="888"/>
        <w:shd w:val="clear" w:color="auto" w:fill="FFFFFF"/>
        <w:snapToGrid w:val="0"/>
        <w:spacing w:before="120" w:after="240" w:afterAutospacing="0" w:line="360" w:lineRule="auto"/>
        <w:ind w:firstLine="4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pPr>
        <w:pStyle w:val="888"/>
        <w:shd w:val="clear" w:color="auto" w:fill="FFFFFF"/>
        <w:snapToGrid w:val="0"/>
        <w:spacing w:before="120" w:after="240" w:afterAutospacing="0" w:line="360" w:lineRule="auto"/>
        <w:ind w:firstLine="400"/>
        <w:contextualSpacing/>
      </w:pPr>
      <w:r>
        <w:rPr>
          <w:rFonts w:hint="eastAsia"/>
        </w:rPr>
        <w:t>4.4.3供应商投诉应当有明确的请求和必要的证明材料。</w:t>
      </w:r>
    </w:p>
    <w:p>
      <w:pPr>
        <w:pStyle w:val="888"/>
        <w:shd w:val="clear" w:color="auto" w:fill="FFFFFF"/>
        <w:snapToGrid w:val="0"/>
        <w:spacing w:before="120" w:after="240" w:afterAutospacing="0" w:line="360" w:lineRule="auto"/>
        <w:ind w:firstLine="400"/>
        <w:contextualSpacing/>
      </w:pPr>
    </w:p>
    <w:p>
      <w:pPr>
        <w:pStyle w:val="130"/>
        <w:snapToGrid w:val="0"/>
        <w:spacing w:before="120"/>
        <w:ind w:firstLine="360"/>
        <w:rPr>
          <w:rFonts w:ascii="宋体" w:hAnsi="宋体" w:cs="宋体"/>
          <w:sz w:val="18"/>
          <w:szCs w:val="18"/>
        </w:rPr>
      </w:pPr>
    </w:p>
    <w:p>
      <w:pPr>
        <w:adjustRightInd/>
        <w:spacing w:line="360" w:lineRule="auto"/>
        <w:jc w:val="center"/>
        <w:outlineLvl w:val="0"/>
        <w:rPr>
          <w:rFonts w:ascii="宋体" w:hAnsi="宋体" w:cs="宋体"/>
          <w:b/>
          <w:sz w:val="32"/>
          <w:szCs w:val="20"/>
        </w:rPr>
      </w:pPr>
      <w:r>
        <w:rPr>
          <w:rFonts w:hint="eastAsia" w:ascii="宋体" w:hAnsi="宋体" w:cs="宋体"/>
          <w:b/>
          <w:sz w:val="32"/>
          <w:szCs w:val="20"/>
        </w:rPr>
        <w:t xml:space="preserve">      二、招标文件的构成、澄清、修改</w:t>
      </w:r>
    </w:p>
    <w:p>
      <w:pPr>
        <w:pStyle w:val="34"/>
        <w:spacing w:line="360" w:lineRule="auto"/>
        <w:rPr>
          <w:rFonts w:hAnsi="宋体" w:cs="宋体"/>
          <w:b/>
          <w:sz w:val="24"/>
          <w:szCs w:val="24"/>
        </w:rPr>
      </w:pPr>
      <w:r>
        <w:rPr>
          <w:rFonts w:hint="eastAsia" w:hAnsi="宋体" w:cs="宋体"/>
          <w:b/>
          <w:sz w:val="24"/>
          <w:szCs w:val="24"/>
        </w:rPr>
        <w:t>5．招标文件的构成</w:t>
      </w:r>
    </w:p>
    <w:p>
      <w:pPr>
        <w:pStyle w:val="34"/>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pPr>
        <w:pStyle w:val="34"/>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pPr>
        <w:pStyle w:val="34"/>
        <w:spacing w:line="360" w:lineRule="auto"/>
        <w:rPr>
          <w:rFonts w:hAnsi="宋体" w:cs="宋体"/>
          <w:b/>
          <w:sz w:val="24"/>
          <w:szCs w:val="24"/>
        </w:rPr>
      </w:pPr>
      <w:r>
        <w:rPr>
          <w:rFonts w:hint="eastAsia" w:hAnsi="宋体" w:cs="宋体"/>
          <w:b/>
          <w:sz w:val="24"/>
          <w:szCs w:val="24"/>
        </w:rPr>
        <w:t>6. 招标文件的澄清、修改</w:t>
      </w:r>
    </w:p>
    <w:p>
      <w:pPr>
        <w:pStyle w:val="130"/>
        <w:snapToGrid w:val="0"/>
        <w:spacing w:before="12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pPr>
        <w:pStyle w:val="130"/>
        <w:snapToGrid w:val="0"/>
        <w:spacing w:before="12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3"/>
        <w:rPr>
          <w:rFonts w:hAnsi="宋体" w:cs="宋体"/>
          <w:sz w:val="18"/>
          <w:szCs w:val="18"/>
          <w:lang w:val="en-US"/>
        </w:rPr>
      </w:pPr>
    </w:p>
    <w:p>
      <w:pPr>
        <w:adjustRightInd/>
        <w:spacing w:line="360" w:lineRule="auto"/>
        <w:jc w:val="center"/>
        <w:outlineLvl w:val="0"/>
        <w:rPr>
          <w:rFonts w:ascii="宋体" w:hAnsi="宋体" w:cs="宋体"/>
          <w:b/>
          <w:sz w:val="30"/>
          <w:szCs w:val="20"/>
        </w:rPr>
      </w:pPr>
      <w:r>
        <w:rPr>
          <w:rFonts w:hint="eastAsia" w:ascii="宋体" w:hAnsi="宋体" w:cs="宋体"/>
          <w:b/>
          <w:sz w:val="30"/>
          <w:szCs w:val="20"/>
        </w:rPr>
        <w:t>三、投标</w:t>
      </w:r>
    </w:p>
    <w:p>
      <w:pPr>
        <w:pStyle w:val="34"/>
        <w:spacing w:line="360" w:lineRule="auto"/>
        <w:rPr>
          <w:rFonts w:hAnsi="宋体" w:cs="宋体"/>
          <w:b/>
          <w:sz w:val="24"/>
          <w:szCs w:val="24"/>
        </w:rPr>
      </w:pPr>
      <w:r>
        <w:rPr>
          <w:rFonts w:hint="eastAsia" w:hAnsi="宋体" w:cs="宋体"/>
          <w:b/>
          <w:sz w:val="24"/>
          <w:szCs w:val="24"/>
        </w:rPr>
        <w:t>7. 招标文件的获取</w:t>
      </w:r>
    </w:p>
    <w:p>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pPr>
        <w:pStyle w:val="34"/>
        <w:spacing w:line="360" w:lineRule="auto"/>
        <w:rPr>
          <w:rFonts w:hAnsi="宋体" w:cs="宋体"/>
          <w:b/>
          <w:sz w:val="24"/>
          <w:szCs w:val="24"/>
        </w:rPr>
      </w:pPr>
      <w:r>
        <w:rPr>
          <w:rFonts w:hint="eastAsia" w:hAnsi="宋体" w:cs="宋体"/>
          <w:b/>
          <w:sz w:val="24"/>
          <w:szCs w:val="24"/>
        </w:rPr>
        <w:t>8.开标前答疑会或现场考察</w:t>
      </w:r>
    </w:p>
    <w:p>
      <w:pPr>
        <w:pStyle w:val="34"/>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pPr>
        <w:pStyle w:val="34"/>
        <w:spacing w:line="360" w:lineRule="auto"/>
        <w:rPr>
          <w:rFonts w:hAnsi="宋体" w:cs="宋体"/>
          <w:b/>
          <w:szCs w:val="24"/>
        </w:rPr>
      </w:pPr>
      <w:r>
        <w:rPr>
          <w:rFonts w:hint="eastAsia" w:hAnsi="宋体" w:cs="宋体"/>
          <w:b/>
          <w:kern w:val="28"/>
          <w:sz w:val="24"/>
          <w:szCs w:val="24"/>
        </w:rPr>
        <w:t>9.投标保证金</w:t>
      </w:r>
    </w:p>
    <w:p>
      <w:pPr>
        <w:pStyle w:val="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pPr>
        <w:pStyle w:val="34"/>
        <w:spacing w:line="360" w:lineRule="auto"/>
        <w:rPr>
          <w:rFonts w:hAnsi="宋体" w:cs="宋体"/>
          <w:b/>
          <w:sz w:val="24"/>
          <w:szCs w:val="24"/>
        </w:rPr>
      </w:pPr>
      <w:r>
        <w:rPr>
          <w:rFonts w:hint="eastAsia" w:hAnsi="宋体" w:cs="宋体"/>
          <w:b/>
          <w:sz w:val="24"/>
          <w:szCs w:val="24"/>
        </w:rPr>
        <w:t>10. 投标文件的语言</w:t>
      </w:r>
    </w:p>
    <w:p>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pPr>
        <w:pStyle w:val="34"/>
        <w:spacing w:line="360" w:lineRule="auto"/>
        <w:rPr>
          <w:rFonts w:hAnsi="宋体" w:cs="宋体"/>
          <w:b/>
          <w:sz w:val="24"/>
          <w:szCs w:val="24"/>
        </w:rPr>
      </w:pPr>
      <w:r>
        <w:rPr>
          <w:rFonts w:hint="eastAsia" w:hAnsi="宋体" w:cs="宋体"/>
          <w:b/>
          <w:sz w:val="24"/>
          <w:szCs w:val="24"/>
        </w:rPr>
        <w:t>11. 投标文件的组成</w:t>
      </w:r>
    </w:p>
    <w:p>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pPr>
        <w:snapToGrid w:val="0"/>
        <w:spacing w:line="360" w:lineRule="auto"/>
        <w:ind w:firstLine="960" w:firstLineChars="400"/>
        <w:rPr>
          <w:rFonts w:ascii="宋体" w:hAnsi="宋体" w:cs="宋体"/>
          <w:sz w:val="24"/>
        </w:rPr>
      </w:pPr>
      <w:r>
        <w:rPr>
          <w:rFonts w:hint="eastAsia" w:ascii="宋体" w:hAnsi="宋体" w:cs="宋体"/>
          <w:sz w:val="24"/>
        </w:rPr>
        <w:t>11.1.1符合参加政府采购活动应当具备的一般条件的承诺函；</w:t>
      </w:r>
    </w:p>
    <w:p>
      <w:pPr>
        <w:snapToGrid w:val="0"/>
        <w:spacing w:line="360" w:lineRule="auto"/>
        <w:ind w:firstLine="960" w:firstLineChars="400"/>
        <w:rPr>
          <w:rFonts w:ascii="宋体" w:hAnsi="宋体" w:cs="宋体"/>
          <w:sz w:val="24"/>
        </w:rPr>
      </w:pPr>
      <w:r>
        <w:rPr>
          <w:rFonts w:hint="eastAsia" w:ascii="宋体" w:hAnsi="宋体" w:cs="宋体"/>
          <w:sz w:val="24"/>
        </w:rPr>
        <w:t>11.1.2落实政府采购政策需满足的资格要求；</w:t>
      </w:r>
    </w:p>
    <w:p>
      <w:pPr>
        <w:snapToGrid w:val="0"/>
        <w:spacing w:line="360" w:lineRule="auto"/>
        <w:ind w:firstLine="480" w:firstLineChars="2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b/>
          <w:bCs/>
          <w:sz w:val="24"/>
        </w:rPr>
        <w:t>商务技术</w:t>
      </w:r>
      <w:r>
        <w:rPr>
          <w:rFonts w:hint="eastAsia" w:ascii="宋体" w:hAnsi="宋体" w:cs="宋体"/>
          <w:b/>
          <w:bCs/>
          <w:sz w:val="24"/>
          <w:lang w:val="zh-CN"/>
        </w:rPr>
        <w:t>文件：</w:t>
      </w:r>
    </w:p>
    <w:p>
      <w:pPr>
        <w:snapToGrid w:val="0"/>
        <w:spacing w:line="360" w:lineRule="auto"/>
        <w:ind w:firstLine="960" w:firstLineChars="400"/>
        <w:rPr>
          <w:rFonts w:ascii="宋体" w:hAnsi="宋体" w:cs="宋体"/>
          <w:sz w:val="24"/>
        </w:rPr>
      </w:pPr>
      <w:r>
        <w:rPr>
          <w:rFonts w:hint="eastAsia" w:ascii="宋体" w:hAnsi="宋体" w:cs="宋体"/>
          <w:sz w:val="24"/>
        </w:rPr>
        <w:t>11.2.1投标函；</w:t>
      </w:r>
    </w:p>
    <w:p>
      <w:pPr>
        <w:snapToGrid w:val="0"/>
        <w:spacing w:line="360" w:lineRule="auto"/>
        <w:ind w:firstLine="960" w:firstLineChars="400"/>
        <w:rPr>
          <w:rFonts w:ascii="宋体" w:hAnsi="宋体" w:cs="宋体"/>
          <w:sz w:val="24"/>
        </w:rPr>
      </w:pPr>
      <w:r>
        <w:rPr>
          <w:rFonts w:hint="eastAsia" w:ascii="宋体" w:hAnsi="宋体" w:cs="宋体"/>
          <w:sz w:val="24"/>
        </w:rPr>
        <w:t>11.2.2授权委托书或法定代表人（单位负责人、自然人本人）身份证明；</w:t>
      </w:r>
    </w:p>
    <w:p>
      <w:pPr>
        <w:snapToGrid w:val="0"/>
        <w:spacing w:line="360" w:lineRule="auto"/>
        <w:ind w:firstLine="960" w:firstLineChars="400"/>
        <w:rPr>
          <w:rFonts w:ascii="宋体" w:hAnsi="宋体" w:cs="宋体"/>
          <w:sz w:val="24"/>
        </w:rPr>
      </w:pPr>
      <w:r>
        <w:rPr>
          <w:rFonts w:hint="eastAsia" w:ascii="宋体" w:hAnsi="宋体" w:cs="宋体"/>
          <w:sz w:val="24"/>
        </w:rPr>
        <w:t>11.2.3符合性审查资料；</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11.2.4评标标准相应的商务技术资料；</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11.2.5投标标的清单；</w:t>
      </w:r>
    </w:p>
    <w:p>
      <w:pPr>
        <w:snapToGrid w:val="0"/>
        <w:spacing w:line="360" w:lineRule="auto"/>
        <w:ind w:firstLine="960" w:firstLineChars="400"/>
        <w:rPr>
          <w:rFonts w:ascii="宋体" w:hAnsi="宋体" w:cs="宋体"/>
          <w:sz w:val="24"/>
        </w:rPr>
      </w:pPr>
      <w:r>
        <w:rPr>
          <w:rFonts w:hint="eastAsia" w:ascii="宋体" w:hAnsi="宋体" w:cs="宋体"/>
          <w:sz w:val="24"/>
        </w:rPr>
        <w:t>11.2.6商务技术偏离表；</w:t>
      </w:r>
    </w:p>
    <w:p>
      <w:pPr>
        <w:snapToGrid w:val="0"/>
        <w:spacing w:line="360" w:lineRule="auto"/>
        <w:ind w:firstLine="960" w:firstLineChars="4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p>
    <w:p>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p>
    <w:p>
      <w:pPr>
        <w:snapToGrid w:val="0"/>
        <w:spacing w:line="360" w:lineRule="auto"/>
        <w:ind w:firstLine="960" w:firstLineChars="400"/>
        <w:rPr>
          <w:rFonts w:ascii="宋体" w:hAnsi="宋体" w:cs="宋体"/>
          <w:sz w:val="24"/>
        </w:rPr>
      </w:pPr>
      <w:r>
        <w:rPr>
          <w:rFonts w:hint="eastAsia" w:ascii="宋体" w:hAnsi="宋体" w:cs="宋体"/>
          <w:sz w:val="24"/>
        </w:rPr>
        <w:t>11.3.1开标一览表（报价表）；</w:t>
      </w:r>
    </w:p>
    <w:p>
      <w:pPr>
        <w:snapToGrid w:val="0"/>
        <w:spacing w:line="360" w:lineRule="auto"/>
        <w:ind w:firstLine="960" w:firstLineChars="400"/>
        <w:rPr>
          <w:rFonts w:ascii="宋体" w:hAnsi="宋体" w:cs="宋体"/>
          <w:sz w:val="24"/>
        </w:rPr>
      </w:pPr>
      <w:r>
        <w:rPr>
          <w:rFonts w:hint="eastAsia" w:ascii="宋体" w:hAnsi="宋体" w:cs="宋体"/>
          <w:sz w:val="24"/>
        </w:rPr>
        <w:t>11.3.2中小企业声明函（如有）。</w:t>
      </w:r>
    </w:p>
    <w:p>
      <w:pPr>
        <w:spacing w:line="360" w:lineRule="auto"/>
        <w:ind w:firstLine="723" w:firstLineChars="300"/>
        <w:rPr>
          <w:rFonts w:ascii="宋体" w:hAnsi="宋体" w:cs="宋体"/>
          <w:b/>
          <w:sz w:val="24"/>
        </w:rPr>
      </w:pPr>
      <w:r>
        <w:rPr>
          <w:rFonts w:hint="eastAsia" w:ascii="宋体" w:hAnsi="宋体" w:cs="宋体"/>
          <w:b/>
          <w:sz w:val="24"/>
        </w:rPr>
        <w:t>投标文件含有采购人不能接受的附加条件的，投标无效；</w:t>
      </w:r>
    </w:p>
    <w:p>
      <w:pPr>
        <w:spacing w:line="360" w:lineRule="auto"/>
        <w:ind w:firstLine="723" w:firstLineChars="300"/>
        <w:rPr>
          <w:rFonts w:ascii="宋体" w:hAnsi="宋体" w:cs="宋体"/>
          <w:b/>
          <w:sz w:val="24"/>
          <w:szCs w:val="21"/>
        </w:rPr>
      </w:pPr>
      <w:r>
        <w:rPr>
          <w:rFonts w:hint="eastAsia" w:ascii="宋体" w:hAnsi="宋体" w:cs="宋体"/>
          <w:b/>
          <w:sz w:val="24"/>
        </w:rPr>
        <w:t>投标人提供虚假材料投标的，投标无效。</w:t>
      </w:r>
    </w:p>
    <w:p>
      <w:pPr>
        <w:pStyle w:val="130"/>
        <w:snapToGrid w:val="0"/>
        <w:spacing w:before="120"/>
        <w:ind w:firstLine="0" w:firstLineChars="0"/>
        <w:outlineLvl w:val="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pPr>
        <w:snapToGrid w:val="0"/>
        <w:spacing w:line="360" w:lineRule="auto"/>
        <w:rPr>
          <w:rFonts w:ascii="宋体" w:hAnsi="宋体" w:cs="宋体"/>
          <w:b/>
          <w:sz w:val="24"/>
        </w:rPr>
      </w:pPr>
      <w:r>
        <w:rPr>
          <w:rFonts w:hint="eastAsia" w:ascii="宋体" w:hAnsi="宋体" w:cs="宋体"/>
          <w:b/>
          <w:sz w:val="24"/>
        </w:rPr>
        <w:t>13.投标文件的签署、盖章</w:t>
      </w:r>
    </w:p>
    <w:p>
      <w:pPr>
        <w:pStyle w:val="130"/>
        <w:snapToGrid w:val="0"/>
        <w:spacing w:before="12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pPr>
        <w:pStyle w:val="130"/>
        <w:snapToGrid w:val="0"/>
        <w:spacing w:before="12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pPr>
        <w:pStyle w:val="130"/>
        <w:snapToGrid w:val="0"/>
        <w:spacing w:before="120"/>
        <w:ind w:firstLine="480"/>
        <w:rPr>
          <w:rFonts w:ascii="宋体" w:hAnsi="宋体" w:cs="宋体"/>
          <w:szCs w:val="24"/>
        </w:rPr>
      </w:pPr>
      <w:r>
        <w:rPr>
          <w:rFonts w:hint="eastAsia" w:ascii="宋体" w:hAnsi="宋体" w:cs="宋体"/>
        </w:rPr>
        <w:t>13.3招标文件对投标文件签署、盖章的要求适用于电子签名。</w:t>
      </w:r>
    </w:p>
    <w:p>
      <w:pPr>
        <w:pStyle w:val="130"/>
        <w:spacing w:before="120"/>
        <w:ind w:firstLine="0" w:firstLineChars="0"/>
        <w:rPr>
          <w:rFonts w:ascii="宋体" w:hAnsi="宋体" w:cs="宋体"/>
          <w:b/>
          <w:szCs w:val="24"/>
        </w:rPr>
      </w:pPr>
      <w:r>
        <w:rPr>
          <w:rFonts w:hint="eastAsia" w:ascii="宋体" w:hAnsi="宋体" w:cs="宋体"/>
          <w:b/>
          <w:szCs w:val="24"/>
        </w:rPr>
        <w:t>14. 投标文件的提交、补充、修改、撤回</w:t>
      </w:r>
    </w:p>
    <w:p>
      <w:pPr>
        <w:pStyle w:val="130"/>
        <w:spacing w:before="120"/>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30"/>
        <w:spacing w:before="12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pPr>
        <w:pStyle w:val="130"/>
        <w:spacing w:before="12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pPr>
        <w:pStyle w:val="34"/>
        <w:spacing w:line="360" w:lineRule="auto"/>
        <w:rPr>
          <w:rFonts w:hAnsi="宋体" w:cs="宋体"/>
          <w:b/>
          <w:sz w:val="24"/>
          <w:szCs w:val="24"/>
        </w:rPr>
      </w:pPr>
      <w:r>
        <w:rPr>
          <w:rFonts w:hint="eastAsia" w:hAnsi="宋体" w:cs="宋体"/>
          <w:b/>
          <w:sz w:val="24"/>
          <w:szCs w:val="24"/>
        </w:rPr>
        <w:t>15.备份投标文件</w:t>
      </w:r>
    </w:p>
    <w:p>
      <w:pPr>
        <w:pStyle w:val="34"/>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采购代理机构不强制投标人提交备份投标文件。</w:t>
      </w:r>
    </w:p>
    <w:p>
      <w:pPr>
        <w:pStyle w:val="34"/>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rPr>
        <w:t>DVD光盘等存储介质</w:t>
      </w:r>
      <w:r>
        <w:rPr>
          <w:rFonts w:hint="eastAsia" w:hAnsi="宋体" w:cs="宋体"/>
          <w:sz w:val="24"/>
          <w:szCs w:val="24"/>
        </w:rPr>
        <w:t>中。备份投标文件应当密封包装并在包装上加盖公章并注明投标项目名称，投标人名称。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pPr>
        <w:pStyle w:val="34"/>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pPr>
        <w:pStyle w:val="34"/>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送达时间以签收人签收时间为准。采购代理机构将拒绝接受逾期送达的备份投标文件。邮寄过程中，电子备份投标文件发生泄露、遗失、损坏或延期送达等情况的，由投标人自行负责。</w:t>
      </w:r>
    </w:p>
    <w:p>
      <w:pPr>
        <w:pStyle w:val="34"/>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pPr>
        <w:pStyle w:val="130"/>
        <w:spacing w:before="120"/>
        <w:ind w:firstLine="0" w:firstLineChars="0"/>
        <w:rPr>
          <w:rFonts w:ascii="宋体" w:hAnsi="宋体" w:cs="宋体"/>
          <w:b/>
          <w:szCs w:val="24"/>
        </w:rPr>
      </w:pPr>
      <w:r>
        <w:rPr>
          <w:rFonts w:hint="eastAsia" w:ascii="宋体" w:hAnsi="宋体" w:cs="宋体"/>
          <w:b/>
          <w:szCs w:val="24"/>
        </w:rPr>
        <w:t>16.投标文件的无效处理</w:t>
      </w:r>
    </w:p>
    <w:p>
      <w:pPr>
        <w:pStyle w:val="25"/>
        <w:spacing w:line="360" w:lineRule="auto"/>
        <w:ind w:firstLine="360" w:firstLineChars="150"/>
        <w:rPr>
          <w:rFonts w:cs="宋体"/>
          <w:szCs w:val="21"/>
        </w:rPr>
      </w:pPr>
      <w:r>
        <w:rPr>
          <w:rFonts w:hint="eastAsia" w:cs="宋体"/>
          <w:szCs w:val="21"/>
        </w:rPr>
        <w:t>有招标文件第四部分</w:t>
      </w:r>
      <w:r>
        <w:rPr>
          <w:rFonts w:cs="宋体"/>
        </w:rPr>
        <w:t>4.2规定</w:t>
      </w:r>
      <w:r>
        <w:rPr>
          <w:rFonts w:hint="eastAsia" w:cs="宋体"/>
          <w:szCs w:val="21"/>
        </w:rPr>
        <w:t>的情形之一的，投标无效：</w:t>
      </w:r>
    </w:p>
    <w:p>
      <w:pPr>
        <w:pStyle w:val="130"/>
        <w:spacing w:before="120"/>
        <w:ind w:firstLine="0" w:firstLineChars="0"/>
        <w:rPr>
          <w:rFonts w:ascii="宋体" w:hAnsi="宋体" w:cs="宋体"/>
          <w:b/>
          <w:szCs w:val="24"/>
        </w:rPr>
      </w:pPr>
      <w:r>
        <w:rPr>
          <w:rFonts w:hint="eastAsia" w:ascii="宋体" w:hAnsi="宋体" w:cs="宋体"/>
          <w:b/>
          <w:szCs w:val="24"/>
        </w:rPr>
        <w:t>17.投标有效期</w:t>
      </w:r>
    </w:p>
    <w:p>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pPr>
        <w:pStyle w:val="130"/>
        <w:spacing w:before="120"/>
        <w:ind w:firstLine="480"/>
        <w:rPr>
          <w:rFonts w:ascii="宋体" w:hAnsi="宋体" w:cs="宋体"/>
        </w:rPr>
      </w:pPr>
      <w:r>
        <w:rPr>
          <w:rFonts w:hint="eastAsia" w:ascii="宋体" w:hAnsi="宋体" w:cs="宋体"/>
        </w:rPr>
        <w:t>17.2投标文件合格投递后，自投标截止日期起，在投标有效期内有效。</w:t>
      </w:r>
    </w:p>
    <w:p>
      <w:pPr>
        <w:pStyle w:val="130"/>
        <w:spacing w:before="120"/>
        <w:ind w:firstLine="480"/>
        <w:rPr>
          <w:rFonts w:ascii="宋体" w:hAnsi="宋体" w:cs="宋体"/>
        </w:rPr>
      </w:pPr>
      <w:r>
        <w:rPr>
          <w:rFonts w:hint="eastAsia" w:ascii="宋体" w:hAnsi="宋体" w:cs="宋体"/>
        </w:rPr>
        <w:t>17.3在原定投标有效期满之前，如果出现特殊情况，采购代理机构可以以书面形式通知投标人延长投标有效期。投标人同意延长的，不得要求或被允许修改其投标文件，投标人拒绝延长的，其投标无效。</w:t>
      </w:r>
    </w:p>
    <w:p>
      <w:pPr>
        <w:pStyle w:val="130"/>
        <w:spacing w:before="120"/>
        <w:ind w:firstLine="643"/>
        <w:rPr>
          <w:rFonts w:ascii="宋体" w:hAnsi="宋体" w:cs="宋体"/>
          <w:b/>
          <w:sz w:val="32"/>
        </w:rPr>
      </w:pPr>
    </w:p>
    <w:p>
      <w:pPr>
        <w:pStyle w:val="130"/>
        <w:spacing w:before="120"/>
        <w:ind w:firstLine="1928" w:firstLineChars="600"/>
        <w:rPr>
          <w:rFonts w:ascii="宋体" w:hAnsi="宋体" w:cs="宋体"/>
          <w:b/>
          <w:sz w:val="32"/>
        </w:rPr>
      </w:pPr>
      <w:r>
        <w:rPr>
          <w:rFonts w:hint="eastAsia" w:ascii="宋体" w:hAnsi="宋体" w:cs="宋体"/>
          <w:b/>
          <w:sz w:val="32"/>
        </w:rPr>
        <w:t>四、开标、资格审查与信用信息查询</w:t>
      </w:r>
    </w:p>
    <w:p>
      <w:pPr>
        <w:pStyle w:val="556"/>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p>
    <w:p>
      <w:pPr>
        <w:pStyle w:val="556"/>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pPr>
        <w:pStyle w:val="556"/>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pPr>
        <w:pStyle w:val="556"/>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pPr>
        <w:widowControl/>
        <w:spacing w:before="120" w:beforeAutospacing="1" w:after="240" w:line="360" w:lineRule="auto"/>
        <w:jc w:val="left"/>
        <w:rPr>
          <w:rFonts w:ascii="宋体" w:hAnsi="宋体" w:cs="宋体"/>
          <w:b/>
          <w:sz w:val="24"/>
          <w:szCs w:val="20"/>
        </w:rPr>
      </w:pPr>
      <w:r>
        <w:rPr>
          <w:rFonts w:hint="eastAsia" w:ascii="宋体" w:hAnsi="宋体" w:cs="宋体"/>
          <w:b/>
          <w:sz w:val="24"/>
          <w:szCs w:val="20"/>
        </w:rPr>
        <w:t>　19、资格审查</w:t>
      </w:r>
    </w:p>
    <w:p>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pPr>
        <w:pStyle w:val="130"/>
        <w:spacing w:before="12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pPr>
        <w:pStyle w:val="130"/>
        <w:spacing w:before="12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pPr>
        <w:pStyle w:val="130"/>
        <w:spacing w:before="12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pPr>
        <w:pStyle w:val="130"/>
        <w:spacing w:before="120"/>
        <w:ind w:firstLine="0" w:firstLineChars="0"/>
        <w:rPr>
          <w:rFonts w:ascii="宋体" w:hAnsi="宋体" w:cs="宋体"/>
          <w:b/>
          <w:szCs w:val="24"/>
        </w:rPr>
      </w:pPr>
      <w:r>
        <w:rPr>
          <w:rFonts w:hint="eastAsia" w:ascii="宋体" w:hAnsi="宋体" w:cs="宋体"/>
          <w:b/>
          <w:szCs w:val="24"/>
        </w:rPr>
        <w:t>20、信用信息查询</w:t>
      </w:r>
    </w:p>
    <w:p>
      <w:pPr>
        <w:pStyle w:val="130"/>
        <w:spacing w:before="120"/>
        <w:ind w:firstLine="495" w:firstLineChars="0"/>
        <w:rPr>
          <w:rFonts w:ascii="宋体" w:hAnsi="宋体" w:cs="宋体"/>
          <w:kern w:val="0"/>
          <w:szCs w:val="24"/>
        </w:rPr>
      </w:pPr>
      <w:r>
        <w:rPr>
          <w:rFonts w:hint="eastAsia" w:ascii="宋体" w:hAnsi="宋体" w:cs="宋体"/>
          <w:kern w:val="0"/>
          <w:szCs w:val="24"/>
        </w:rPr>
        <w:t>20.1信用信息查询渠道及截止时间：采购代理机构将在资格审查时通过“信用中国”网站(www.creditchina.gov.cn)、中国政府采购网(www.ccgp.gov.cn)渠道查询投标人接受资格审查时的信用记录。</w:t>
      </w:r>
    </w:p>
    <w:p>
      <w:pPr>
        <w:pStyle w:val="130"/>
        <w:spacing w:before="12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pPr>
        <w:pStyle w:val="130"/>
        <w:spacing w:before="12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pPr>
        <w:pStyle w:val="130"/>
        <w:spacing w:before="12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pPr>
        <w:pStyle w:val="130"/>
        <w:spacing w:before="120"/>
        <w:ind w:firstLine="0" w:firstLineChars="0"/>
        <w:rPr>
          <w:rFonts w:ascii="宋体" w:hAnsi="宋体" w:cs="宋体"/>
          <w:kern w:val="0"/>
          <w:szCs w:val="24"/>
        </w:rPr>
      </w:pPr>
    </w:p>
    <w:p>
      <w:pPr>
        <w:snapToGrid w:val="0"/>
        <w:spacing w:line="360" w:lineRule="auto"/>
        <w:jc w:val="center"/>
        <w:outlineLvl w:val="0"/>
        <w:rPr>
          <w:rFonts w:ascii="宋体" w:hAnsi="宋体" w:cs="宋体"/>
          <w:b/>
          <w:sz w:val="36"/>
          <w:szCs w:val="36"/>
        </w:rPr>
      </w:pPr>
      <w:r>
        <w:rPr>
          <w:rFonts w:hint="eastAsia" w:ascii="宋体" w:hAnsi="宋体" w:cs="宋体"/>
          <w:b/>
          <w:sz w:val="36"/>
          <w:szCs w:val="36"/>
        </w:rPr>
        <w:t>五、评标</w:t>
      </w:r>
    </w:p>
    <w:p>
      <w:pPr>
        <w:spacing w:line="360" w:lineRule="auto"/>
        <w:rPr>
          <w:rFonts w:ascii="宋体" w:hAnsi="宋体" w:cs="宋体"/>
          <w:b/>
          <w:sz w:val="24"/>
        </w:rPr>
      </w:pPr>
      <w:bookmarkStart w:id="17" w:name="_Toc91899903"/>
      <w:r>
        <w:rPr>
          <w:rFonts w:hint="eastAsia" w:ascii="宋体" w:hAnsi="宋体" w:cs="宋体"/>
          <w:b/>
          <w:sz w:val="24"/>
        </w:rPr>
        <w:t>21.</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pPr>
        <w:spacing w:line="360" w:lineRule="auto"/>
        <w:rPr>
          <w:rFonts w:ascii="宋体" w:hAnsi="宋体" w:cs="宋体"/>
          <w:b/>
          <w:sz w:val="24"/>
        </w:rPr>
      </w:pPr>
    </w:p>
    <w:p>
      <w:pPr>
        <w:snapToGrid w:val="0"/>
        <w:spacing w:line="360" w:lineRule="auto"/>
        <w:jc w:val="center"/>
        <w:outlineLvl w:val="0"/>
        <w:rPr>
          <w:rFonts w:ascii="宋体" w:hAnsi="宋体" w:cs="宋体"/>
          <w:b/>
          <w:sz w:val="36"/>
          <w:szCs w:val="36"/>
        </w:rPr>
      </w:pPr>
      <w:r>
        <w:rPr>
          <w:rFonts w:hint="eastAsia" w:ascii="宋体" w:hAnsi="宋体" w:cs="宋体"/>
          <w:b/>
          <w:sz w:val="36"/>
          <w:szCs w:val="36"/>
        </w:rPr>
        <w:t>六、定 标</w:t>
      </w:r>
    </w:p>
    <w:p>
      <w:pPr>
        <w:pStyle w:val="25"/>
        <w:spacing w:line="360" w:lineRule="auto"/>
        <w:ind w:left="479" w:hanging="479" w:hangingChars="199"/>
        <w:rPr>
          <w:rFonts w:cs="宋体"/>
          <w:b/>
        </w:rPr>
      </w:pPr>
      <w:r>
        <w:rPr>
          <w:rFonts w:hint="eastAsia" w:cs="宋体"/>
          <w:b/>
        </w:rPr>
        <w:t>22. 确定中标供应商</w:t>
      </w:r>
    </w:p>
    <w:p>
      <w:pPr>
        <w:pStyle w:val="130"/>
        <w:snapToGrid w:val="0"/>
        <w:spacing w:before="12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pPr>
        <w:pStyle w:val="130"/>
        <w:snapToGrid w:val="0"/>
        <w:spacing w:before="120"/>
        <w:ind w:firstLine="0" w:firstLineChars="0"/>
        <w:rPr>
          <w:rFonts w:ascii="宋体" w:hAnsi="宋体" w:cs="宋体"/>
          <w:b/>
          <w:szCs w:val="24"/>
        </w:rPr>
      </w:pPr>
      <w:r>
        <w:rPr>
          <w:rFonts w:hint="eastAsia" w:ascii="宋体" w:hAnsi="宋体" w:cs="宋体"/>
          <w:b/>
          <w:szCs w:val="24"/>
        </w:rPr>
        <w:t>23. 中标通知与中标结果公告</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23.1自中标人确定之日起2个工作日内，采购代理机构通过电子交易平台编制发布采购结果公告。采购代理机构以纸质形式进行中标通知。</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23.2公告期限为1个工作日。</w:t>
      </w:r>
    </w:p>
    <w:p>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七、合同授予</w:t>
      </w:r>
    </w:p>
    <w:p>
      <w:pPr>
        <w:pStyle w:val="25"/>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pPr>
        <w:pStyle w:val="25"/>
        <w:spacing w:line="360" w:lineRule="auto"/>
        <w:ind w:left="479" w:hanging="479" w:hangingChars="199"/>
        <w:rPr>
          <w:rFonts w:cs="宋体"/>
          <w:b/>
        </w:rPr>
      </w:pPr>
      <w:r>
        <w:rPr>
          <w:rFonts w:hint="eastAsia" w:cs="宋体"/>
          <w:b/>
        </w:rPr>
        <w:t>25. 合同的签订</w:t>
      </w:r>
    </w:p>
    <w:p>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除不可抗力等特殊情况外，原则上应当在中标通知书发出之日起10个工作日内，与中标供应商按照采购文件确定的事项签订政府采购合同。</w:t>
      </w:r>
    </w:p>
    <w:p>
      <w:pPr>
        <w:pStyle w:val="130"/>
        <w:snapToGrid w:val="0"/>
        <w:spacing w:before="12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w:t>
      </w:r>
    </w:p>
    <w:p>
      <w:pPr>
        <w:pStyle w:val="130"/>
        <w:snapToGrid w:val="0"/>
        <w:spacing w:before="12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pPr>
        <w:pStyle w:val="130"/>
        <w:snapToGrid w:val="0"/>
        <w:spacing w:before="120"/>
        <w:ind w:firstLine="480"/>
        <w:rPr>
          <w:rFonts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pPr>
        <w:pStyle w:val="25"/>
        <w:spacing w:line="360" w:lineRule="auto"/>
        <w:ind w:left="479" w:hanging="479" w:hangingChars="199"/>
        <w:rPr>
          <w:rFonts w:cs="宋体"/>
          <w:b/>
        </w:rPr>
      </w:pPr>
      <w:r>
        <w:rPr>
          <w:rFonts w:hint="eastAsia" w:cs="宋体"/>
          <w:b/>
        </w:rPr>
        <w:t>26. 履约保证金：无</w:t>
      </w:r>
    </w:p>
    <w:p>
      <w:pPr>
        <w:pStyle w:val="3"/>
        <w:rPr>
          <w:rFonts w:eastAsia="宋体"/>
        </w:rPr>
      </w:pPr>
      <w:r>
        <w:rPr>
          <w:rFonts w:ascii="宋体" w:hAnsi="宋体" w:eastAsia="宋体"/>
          <w:sz w:val="24"/>
          <w:lang w:val="en-US"/>
        </w:rPr>
        <w:t>27.预付款</w:t>
      </w:r>
      <w:r>
        <w:rPr>
          <w:rFonts w:hint="eastAsia" w:ascii="宋体" w:hAnsi="宋体" w:eastAsia="宋体"/>
          <w:sz w:val="24"/>
          <w:lang w:val="en-US"/>
        </w:rPr>
        <w:t>：详见付款方式</w:t>
      </w:r>
    </w:p>
    <w:p>
      <w:pPr>
        <w:snapToGrid w:val="0"/>
        <w:spacing w:line="360" w:lineRule="auto"/>
        <w:ind w:firstLine="3357" w:firstLineChars="1045"/>
        <w:rPr>
          <w:rFonts w:ascii="宋体" w:hAnsi="宋体" w:cs="宋体"/>
          <w:b/>
          <w:sz w:val="32"/>
        </w:rPr>
      </w:pPr>
    </w:p>
    <w:p>
      <w:pPr>
        <w:snapToGrid w:val="0"/>
        <w:spacing w:line="360" w:lineRule="auto"/>
        <w:ind w:firstLine="3357" w:firstLineChars="1045"/>
        <w:rPr>
          <w:rFonts w:ascii="宋体" w:hAnsi="宋体" w:cs="宋体"/>
          <w:b/>
          <w:sz w:val="24"/>
        </w:rPr>
      </w:pPr>
      <w:r>
        <w:rPr>
          <w:rFonts w:hint="eastAsia" w:ascii="宋体" w:hAnsi="宋体" w:cs="宋体"/>
          <w:b/>
          <w:sz w:val="32"/>
        </w:rPr>
        <w:t>八、电子交易活动的中止</w:t>
      </w:r>
    </w:p>
    <w:p>
      <w:pPr>
        <w:pStyle w:val="130"/>
        <w:snapToGrid w:val="0"/>
        <w:spacing w:before="120"/>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pPr>
        <w:pStyle w:val="130"/>
        <w:snapToGrid w:val="0"/>
        <w:spacing w:before="120"/>
        <w:ind w:firstLine="480"/>
        <w:rPr>
          <w:rFonts w:ascii="宋体" w:hAnsi="宋体" w:cs="宋体"/>
        </w:rPr>
      </w:pPr>
      <w:r>
        <w:rPr>
          <w:rFonts w:hint="eastAsia" w:ascii="宋体" w:hAnsi="宋体" w:cs="宋体"/>
        </w:rPr>
        <w:t xml:space="preserve">28.1电子交易平台发生故障而无法登录访问的； </w:t>
      </w:r>
    </w:p>
    <w:p>
      <w:pPr>
        <w:pStyle w:val="130"/>
        <w:snapToGrid w:val="0"/>
        <w:spacing w:before="120"/>
        <w:ind w:firstLine="480"/>
        <w:rPr>
          <w:rFonts w:ascii="宋体" w:hAnsi="宋体" w:cs="宋体"/>
        </w:rPr>
      </w:pPr>
      <w:r>
        <w:rPr>
          <w:rFonts w:hint="eastAsia" w:ascii="宋体" w:hAnsi="宋体" w:cs="宋体"/>
        </w:rPr>
        <w:t>28.2电子交易平台应用或数据库出现错误，不能进行正常操作的；</w:t>
      </w:r>
    </w:p>
    <w:p>
      <w:pPr>
        <w:pStyle w:val="130"/>
        <w:snapToGrid w:val="0"/>
        <w:spacing w:before="120"/>
        <w:ind w:firstLine="480"/>
        <w:rPr>
          <w:rFonts w:ascii="宋体" w:hAnsi="宋体" w:cs="宋体"/>
        </w:rPr>
      </w:pPr>
      <w:r>
        <w:rPr>
          <w:rFonts w:hint="eastAsia" w:ascii="宋体" w:hAnsi="宋体" w:cs="宋体"/>
        </w:rPr>
        <w:t>28.3电子交易平台发现严重安全漏洞，有潜在泄密危险的；</w:t>
      </w:r>
    </w:p>
    <w:p>
      <w:pPr>
        <w:pStyle w:val="130"/>
        <w:snapToGrid w:val="0"/>
        <w:spacing w:before="120"/>
        <w:ind w:firstLine="480"/>
        <w:rPr>
          <w:rFonts w:ascii="宋体" w:hAnsi="宋体" w:cs="宋体"/>
        </w:rPr>
      </w:pPr>
      <w:r>
        <w:rPr>
          <w:rFonts w:hint="eastAsia" w:ascii="宋体" w:hAnsi="宋体" w:cs="宋体"/>
        </w:rPr>
        <w:t xml:space="preserve">28.4病毒发作导致不能进行正常操作的； </w:t>
      </w:r>
    </w:p>
    <w:p>
      <w:pPr>
        <w:pStyle w:val="130"/>
        <w:snapToGrid w:val="0"/>
        <w:spacing w:before="120"/>
        <w:ind w:firstLine="480"/>
        <w:rPr>
          <w:rFonts w:ascii="宋体" w:hAnsi="宋体" w:cs="宋体"/>
        </w:rPr>
      </w:pPr>
      <w:r>
        <w:rPr>
          <w:rFonts w:hint="eastAsia" w:ascii="宋体" w:hAnsi="宋体" w:cs="宋体"/>
        </w:rPr>
        <w:t>28.5其他无法保证电子交易的公平、公正和安全的情况。</w:t>
      </w:r>
    </w:p>
    <w:p>
      <w:pPr>
        <w:pStyle w:val="130"/>
        <w:snapToGrid w:val="0"/>
        <w:spacing w:before="12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sz w:val="24"/>
        </w:rPr>
      </w:pPr>
    </w:p>
    <w:p>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九、验收</w:t>
      </w:r>
    </w:p>
    <w:p>
      <w:pPr>
        <w:pStyle w:val="25"/>
        <w:spacing w:line="360" w:lineRule="auto"/>
        <w:ind w:firstLine="0" w:firstLineChars="0"/>
        <w:rPr>
          <w:rFonts w:cs="宋体"/>
          <w:b/>
        </w:rPr>
      </w:pPr>
      <w:r>
        <w:rPr>
          <w:rFonts w:hint="eastAsia" w:cs="宋体"/>
          <w:b/>
        </w:rPr>
        <w:t>30.验收</w:t>
      </w:r>
    </w:p>
    <w:p>
      <w:pPr>
        <w:tabs>
          <w:tab w:val="left" w:pos="0"/>
        </w:tabs>
        <w:spacing w:line="360" w:lineRule="auto"/>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sz w:val="18"/>
          <w:szCs w:val="18"/>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7"/>
    <w:p>
      <w:pPr>
        <w:snapToGrid w:val="0"/>
        <w:spacing w:line="360" w:lineRule="auto"/>
        <w:ind w:left="120" w:leftChars="57" w:firstLine="482" w:firstLineChars="150"/>
        <w:jc w:val="center"/>
        <w:rPr>
          <w:rFonts w:ascii="宋体" w:hAnsi="宋体" w:cs="宋体"/>
          <w:b/>
          <w:sz w:val="32"/>
        </w:rPr>
      </w:pPr>
      <w:bookmarkStart w:id="18" w:name="_Hlt75236101"/>
      <w:bookmarkEnd w:id="18"/>
      <w:bookmarkStart w:id="19" w:name="_Hlt68072990"/>
      <w:bookmarkEnd w:id="19"/>
      <w:bookmarkStart w:id="20" w:name="_Hlt74730295"/>
      <w:bookmarkEnd w:id="20"/>
      <w:bookmarkStart w:id="21" w:name="_Hlt68403820"/>
      <w:bookmarkEnd w:id="21"/>
      <w:bookmarkStart w:id="22" w:name="_Hlt75236290"/>
      <w:bookmarkEnd w:id="22"/>
      <w:bookmarkStart w:id="23" w:name="_Hlt75236011"/>
      <w:bookmarkEnd w:id="23"/>
      <w:bookmarkStart w:id="24" w:name="_Hlt74714665"/>
      <w:bookmarkEnd w:id="24"/>
      <w:bookmarkStart w:id="25" w:name="_Hlt68073093"/>
      <w:bookmarkEnd w:id="25"/>
      <w:bookmarkStart w:id="26" w:name="_Hlt74707468"/>
      <w:bookmarkEnd w:id="26"/>
      <w:bookmarkStart w:id="27" w:name="_Hlt68057669"/>
      <w:bookmarkEnd w:id="27"/>
      <w:bookmarkStart w:id="28" w:name="_Hlt74729768"/>
      <w:bookmarkEnd w:id="28"/>
      <w:bookmarkStart w:id="29" w:name="_Hlt68072998"/>
      <w:bookmarkEnd w:id="29"/>
    </w:p>
    <w:p>
      <w:pPr>
        <w:pStyle w:val="3"/>
        <w:numPr>
          <w:ilvl w:val="0"/>
          <w:numId w:val="1"/>
        </w:numPr>
        <w:jc w:val="center"/>
        <w:rPr>
          <w:rFonts w:ascii="宋体" w:hAnsi="宋体" w:eastAsia="宋体" w:cs="宋体"/>
          <w:bCs w:val="0"/>
          <w:szCs w:val="24"/>
          <w:lang w:val="en-US"/>
        </w:rPr>
      </w:pPr>
      <w:r>
        <w:rPr>
          <w:rFonts w:hint="eastAsia" w:ascii="宋体" w:hAnsi="宋体" w:eastAsia="宋体" w:cs="宋体"/>
          <w:bCs w:val="0"/>
          <w:szCs w:val="24"/>
          <w:lang w:val="en-US"/>
        </w:rPr>
        <w:t>代理费</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31.根据“国家发展和改革委员会办公厅《关于招标代理服务收费有关问题的通知》（发改办价格【2003】857号）”规定，招标代理机构向中标人收取招标代理服务费。</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32.中标人应在收取《中标通知书》时向采购代理机构交纳招标代理服务费，服务费的收费标准按浙价服〔2003〕77号文规定计算。</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0"/>
        <w:gridCol w:w="3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jc w:val="center"/>
        </w:trPr>
        <w:tc>
          <w:tcPr>
            <w:tcW w:w="3660" w:type="dxa"/>
            <w:shd w:val="clear" w:color="auto" w:fill="D9D9D9"/>
            <w:noWrap/>
            <w:vAlign w:val="center"/>
          </w:tcPr>
          <w:p>
            <w:pPr>
              <w:spacing w:line="360" w:lineRule="auto"/>
              <w:jc w:val="center"/>
              <w:rPr>
                <w:rFonts w:ascii="宋体" w:hAnsi="宋体" w:cs="宋体"/>
                <w:kern w:val="0"/>
                <w:sz w:val="24"/>
              </w:rPr>
            </w:pPr>
            <w:r>
              <w:rPr>
                <w:rFonts w:hint="eastAsia" w:ascii="宋体" w:hAnsi="宋体" w:cs="宋体"/>
                <w:kern w:val="0"/>
                <w:sz w:val="24"/>
              </w:rPr>
              <w:t xml:space="preserve">  中标金额（万元）</w:t>
            </w:r>
          </w:p>
        </w:tc>
        <w:tc>
          <w:tcPr>
            <w:tcW w:w="3660" w:type="dxa"/>
            <w:shd w:val="clear" w:color="auto" w:fill="D9D9D9"/>
            <w:noWrap/>
          </w:tcPr>
          <w:p>
            <w:pPr>
              <w:spacing w:line="360" w:lineRule="auto"/>
              <w:jc w:val="center"/>
              <w:rPr>
                <w:rFonts w:ascii="宋体" w:hAnsi="宋体" w:cs="宋体"/>
                <w:kern w:val="0"/>
                <w:sz w:val="24"/>
              </w:rPr>
            </w:pPr>
            <w:r>
              <w:rPr>
                <w:rFonts w:hint="eastAsia" w:ascii="宋体" w:hAnsi="宋体" w:cs="宋体"/>
                <w:kern w:val="0"/>
                <w:sz w:val="24"/>
              </w:rPr>
              <w:t>货物类招标收费费率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660" w:type="dxa"/>
            <w:noWrap/>
          </w:tcPr>
          <w:p>
            <w:pPr>
              <w:spacing w:line="360" w:lineRule="auto"/>
              <w:jc w:val="center"/>
              <w:rPr>
                <w:rFonts w:ascii="宋体" w:hAnsi="宋体" w:cs="宋体"/>
                <w:kern w:val="0"/>
                <w:sz w:val="24"/>
              </w:rPr>
            </w:pPr>
            <w:r>
              <w:rPr>
                <w:rFonts w:hint="eastAsia" w:ascii="宋体" w:hAnsi="宋体" w:cs="宋体"/>
                <w:kern w:val="0"/>
                <w:sz w:val="24"/>
              </w:rPr>
              <w:t>100以下</w:t>
            </w:r>
          </w:p>
        </w:tc>
        <w:tc>
          <w:tcPr>
            <w:tcW w:w="3660" w:type="dxa"/>
            <w:noWrap/>
            <w:vAlign w:val="center"/>
          </w:tcPr>
          <w:p>
            <w:pPr>
              <w:spacing w:line="360" w:lineRule="auto"/>
              <w:jc w:val="center"/>
              <w:rPr>
                <w:rFonts w:ascii="宋体" w:hAnsi="宋体" w:cs="宋体"/>
                <w:kern w:val="0"/>
                <w:sz w:val="24"/>
              </w:rPr>
            </w:pPr>
            <w:r>
              <w:rPr>
                <w:rFonts w:hint="eastAsia" w:ascii="宋体" w:hAnsi="宋体" w:cs="宋体"/>
                <w:kern w:val="0"/>
                <w:sz w:val="24"/>
              </w:rPr>
              <w:t>1.5％</w:t>
            </w:r>
          </w:p>
        </w:tc>
      </w:tr>
    </w:tbl>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招标代理服务收费按差额定率累进法计算。</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33.</w:t>
      </w:r>
      <w:r>
        <w:rPr>
          <w:rFonts w:hint="eastAsia" w:ascii="宋体" w:hAnsi="宋体" w:cs="宋体"/>
          <w:color w:val="auto"/>
          <w:kern w:val="0"/>
          <w:sz w:val="24"/>
        </w:rPr>
        <w:t>本项目以货物类招标收费标准的64</w:t>
      </w:r>
      <w:r>
        <w:rPr>
          <w:rFonts w:hint="eastAsia" w:ascii="宋体" w:hAnsi="宋体" w:cs="宋体"/>
          <w:color w:val="auto"/>
          <w:kern w:val="0"/>
          <w:sz w:val="24"/>
          <w:lang w:val="en-US" w:eastAsia="zh-CN"/>
        </w:rPr>
        <w:t>.38</w:t>
      </w:r>
      <w:r>
        <w:rPr>
          <w:rFonts w:hint="eastAsia" w:ascii="宋体" w:hAnsi="宋体" w:cs="宋体"/>
          <w:color w:val="auto"/>
          <w:kern w:val="0"/>
          <w:sz w:val="24"/>
        </w:rPr>
        <w:t>%收取中标服务费，不足人民币4000元按4000元计取。</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34.服务费支付方式：一次性以网银、电汇的形式支付。</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35.服务费以银行划账方式按下列要求提交：</w:t>
      </w:r>
    </w:p>
    <w:p>
      <w:pPr>
        <w:snapToGrid w:val="0"/>
        <w:spacing w:line="360" w:lineRule="auto"/>
        <w:ind w:left="399" w:leftChars="190" w:right="-401" w:rightChars="-191"/>
        <w:jc w:val="left"/>
        <w:rPr>
          <w:rFonts w:ascii="宋体" w:hAnsi="宋体" w:cs="宋体"/>
          <w:kern w:val="0"/>
          <w:sz w:val="24"/>
        </w:rPr>
      </w:pPr>
      <w:r>
        <w:rPr>
          <w:rFonts w:hint="eastAsia" w:ascii="宋体" w:hAnsi="宋体" w:cs="宋体"/>
          <w:kern w:val="0"/>
          <w:sz w:val="24"/>
        </w:rPr>
        <w:t>开户银行：浙江泰隆商业银行股份有限公司嘉兴南湖支行</w:t>
      </w:r>
      <w:r>
        <w:rPr>
          <w:rFonts w:hint="eastAsia" w:ascii="宋体" w:hAnsi="宋体" w:cs="宋体"/>
          <w:kern w:val="0"/>
          <w:sz w:val="24"/>
        </w:rPr>
        <w:br w:type="textWrapping"/>
      </w:r>
      <w:r>
        <w:rPr>
          <w:rFonts w:hint="eastAsia" w:ascii="宋体" w:hAnsi="宋体" w:cs="宋体"/>
          <w:kern w:val="0"/>
          <w:sz w:val="24"/>
        </w:rPr>
        <w:t>银行账号：33090260201000004623</w:t>
      </w:r>
      <w:r>
        <w:rPr>
          <w:rFonts w:hint="eastAsia" w:ascii="宋体" w:hAnsi="宋体" w:cs="宋体"/>
          <w:kern w:val="0"/>
          <w:sz w:val="24"/>
        </w:rPr>
        <w:br w:type="textWrapping"/>
      </w:r>
      <w:r>
        <w:rPr>
          <w:rFonts w:hint="eastAsia" w:ascii="宋体" w:hAnsi="宋体" w:cs="宋体"/>
          <w:kern w:val="0"/>
          <w:sz w:val="24"/>
        </w:rPr>
        <w:t>银行类别：选择城市商业银行或其他银行</w:t>
      </w:r>
    </w:p>
    <w:p>
      <w:pPr>
        <w:snapToGrid w:val="0"/>
        <w:spacing w:line="360" w:lineRule="auto"/>
        <w:ind w:right="-401" w:rightChars="-191" w:firstLine="480" w:firstLineChars="200"/>
        <w:jc w:val="left"/>
        <w:rPr>
          <w:rFonts w:ascii="宋体" w:hAnsi="宋体" w:cs="宋体"/>
          <w:kern w:val="0"/>
          <w:sz w:val="24"/>
        </w:rPr>
      </w:pPr>
      <w:r>
        <w:rPr>
          <w:rFonts w:hint="eastAsia" w:ascii="宋体" w:hAnsi="宋体" w:cs="宋体"/>
          <w:kern w:val="0"/>
          <w:sz w:val="24"/>
        </w:rPr>
        <w:t>36.服务费支付时间：服务费必须在中标人领取《中标通知书》时一次性付清，如果中标人未能按时交纳服务费，采购代理机构/采购人保留取消其中标资格并追究其法律责任的权利。</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37.服务费不在投标报价中单列。</w:t>
      </w:r>
    </w:p>
    <w:p>
      <w:pPr>
        <w:numPr>
          <w:ilvl w:val="0"/>
          <w:numId w:val="1"/>
        </w:numPr>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3"/>
    <w:bookmarkEnd w:id="14"/>
    <w:p>
      <w:pPr>
        <w:numPr>
          <w:ilvl w:val="0"/>
          <w:numId w:val="2"/>
        </w:numPr>
        <w:spacing w:line="360" w:lineRule="auto"/>
        <w:jc w:val="center"/>
        <w:outlineLvl w:val="0"/>
        <w:rPr>
          <w:rFonts w:ascii="宋体" w:hAnsi="宋体" w:cs="宋体"/>
          <w:b/>
          <w:sz w:val="36"/>
          <w:szCs w:val="36"/>
        </w:rPr>
      </w:pPr>
      <w:bookmarkStart w:id="30" w:name="第四部分"/>
      <w:r>
        <w:rPr>
          <w:rFonts w:hint="eastAsia" w:ascii="宋体" w:hAnsi="宋体" w:cs="宋体"/>
          <w:b/>
          <w:sz w:val="36"/>
          <w:szCs w:val="36"/>
        </w:rPr>
        <w:t xml:space="preserve">  采购需求</w:t>
      </w:r>
    </w:p>
    <w:p>
      <w:pPr>
        <w:adjustRightInd/>
        <w:snapToGrid w:val="0"/>
        <w:spacing w:line="420" w:lineRule="exact"/>
        <w:ind w:firstLine="482" w:firstLineChars="200"/>
        <w:rPr>
          <w:rFonts w:ascii="宋体" w:hAnsi="宋体" w:cs="宋体"/>
          <w:b/>
          <w:bCs/>
          <w:color w:val="000000"/>
          <w:kern w:val="0"/>
          <w:sz w:val="24"/>
        </w:rPr>
      </w:pPr>
      <w:r>
        <w:rPr>
          <w:rFonts w:hint="eastAsia" w:ascii="宋体" w:hAnsi="宋体" w:cs="宋体"/>
          <w:b/>
          <w:sz w:val="24"/>
        </w:rPr>
        <w:t>一、采购清单及技术参数</w:t>
      </w:r>
    </w:p>
    <w:tbl>
      <w:tblPr>
        <w:tblStyle w:val="63"/>
        <w:tblW w:w="10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53"/>
        <w:gridCol w:w="6228"/>
        <w:gridCol w:w="623"/>
        <w:gridCol w:w="515"/>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153" w:type="dxa"/>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名称</w:t>
            </w:r>
          </w:p>
        </w:tc>
        <w:tc>
          <w:tcPr>
            <w:tcW w:w="6228" w:type="dxa"/>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参数</w:t>
            </w:r>
          </w:p>
        </w:tc>
        <w:tc>
          <w:tcPr>
            <w:tcW w:w="623" w:type="dxa"/>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单位</w:t>
            </w:r>
          </w:p>
        </w:tc>
        <w:tc>
          <w:tcPr>
            <w:tcW w:w="515" w:type="dxa"/>
            <w:shd w:val="clear" w:color="auto" w:fill="auto"/>
            <w:noWrap/>
            <w:vAlign w:val="center"/>
          </w:tcPr>
          <w:p>
            <w:pPr>
              <w:widowControl/>
              <w:ind w:right="-107" w:rightChars="-51"/>
              <w:jc w:val="center"/>
              <w:rPr>
                <w:rFonts w:ascii="宋体" w:hAnsi="宋体" w:cs="宋体"/>
                <w:b/>
                <w:bCs/>
                <w:color w:val="000000"/>
                <w:kern w:val="0"/>
                <w:sz w:val="24"/>
              </w:rPr>
            </w:pPr>
            <w:r>
              <w:rPr>
                <w:rFonts w:hint="eastAsia" w:ascii="宋体" w:hAnsi="宋体" w:cs="宋体"/>
                <w:b/>
                <w:bCs/>
                <w:color w:val="000000"/>
                <w:kern w:val="0"/>
                <w:sz w:val="24"/>
              </w:rPr>
              <w:t>数量</w:t>
            </w:r>
          </w:p>
        </w:tc>
        <w:tc>
          <w:tcPr>
            <w:tcW w:w="1423" w:type="dxa"/>
            <w:vAlign w:val="center"/>
          </w:tcPr>
          <w:p>
            <w:pPr>
              <w:widowControl/>
              <w:ind w:right="-107" w:rightChars="-51"/>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jc w:val="center"/>
              <w:textAlignment w:val="top"/>
              <w:rPr>
                <w:rFonts w:ascii="宋体" w:hAnsi="宋体" w:cs="宋体"/>
                <w:color w:val="000000"/>
                <w:sz w:val="24"/>
              </w:rPr>
            </w:pPr>
            <w:r>
              <w:rPr>
                <w:rFonts w:hint="eastAsia" w:ascii="宋体" w:hAnsi="宋体" w:cs="宋体"/>
                <w:color w:val="000000"/>
                <w:sz w:val="24"/>
              </w:rPr>
              <w:t>1</w:t>
            </w:r>
          </w:p>
        </w:tc>
        <w:tc>
          <w:tcPr>
            <w:tcW w:w="1153" w:type="dxa"/>
            <w:shd w:val="clear" w:color="auto" w:fill="auto"/>
            <w:noWrap/>
            <w:vAlign w:val="center"/>
          </w:tcPr>
          <w:p>
            <w:pPr>
              <w:widowControl/>
              <w:jc w:val="center"/>
              <w:textAlignment w:val="top"/>
              <w:rPr>
                <w:rFonts w:ascii="宋体" w:hAnsi="宋体" w:cs="宋体"/>
                <w:color w:val="000000"/>
                <w:sz w:val="24"/>
              </w:rPr>
            </w:pPr>
            <w:r>
              <w:rPr>
                <w:rFonts w:hint="eastAsia" w:ascii="宋体" w:hAnsi="宋体" w:cs="宋体"/>
                <w:color w:val="000000"/>
                <w:sz w:val="24"/>
              </w:rPr>
              <w:t>全景摄像机</w:t>
            </w:r>
          </w:p>
        </w:tc>
        <w:tc>
          <w:tcPr>
            <w:tcW w:w="6228" w:type="dxa"/>
            <w:shd w:val="clear" w:color="auto" w:fill="auto"/>
            <w:noWrap/>
            <w:vAlign w:val="center"/>
          </w:tcPr>
          <w:p>
            <w:pPr>
              <w:widowControl/>
              <w:jc w:val="left"/>
              <w:textAlignment w:val="top"/>
              <w:rPr>
                <w:rFonts w:ascii="宋体" w:hAnsi="宋体" w:cs="宋体"/>
                <w:color w:val="000000"/>
                <w:sz w:val="24"/>
              </w:rPr>
            </w:pPr>
            <w:r>
              <w:rPr>
                <w:rFonts w:hint="eastAsia" w:ascii="宋体" w:hAnsi="宋体" w:cs="宋体"/>
                <w:color w:val="000000"/>
                <w:sz w:val="24"/>
              </w:rPr>
              <w:t>具有不低于1/2.8英寸CMOS传感器，有效像素不低于200万；</w:t>
            </w:r>
          </w:p>
          <w:p>
            <w:pPr>
              <w:widowControl/>
              <w:jc w:val="left"/>
              <w:textAlignment w:val="top"/>
              <w:rPr>
                <w:rFonts w:ascii="宋体" w:hAnsi="宋体" w:cs="宋体"/>
                <w:color w:val="000000"/>
                <w:sz w:val="24"/>
              </w:rPr>
            </w:pPr>
            <w:r>
              <w:rPr>
                <w:rFonts w:hint="eastAsia" w:ascii="宋体" w:hAnsi="宋体" w:cs="宋体"/>
                <w:color w:val="000000"/>
                <w:sz w:val="24"/>
              </w:rPr>
              <w:t xml:space="preserve">★支持不低于23倍光学变倍，16倍数字变倍； </w:t>
            </w:r>
            <w:r>
              <w:rPr>
                <w:rFonts w:hint="eastAsia" w:ascii="宋体" w:hAnsi="宋体" w:cs="宋体"/>
                <w:b/>
                <w:bCs/>
                <w:color w:val="000000"/>
                <w:sz w:val="24"/>
              </w:rPr>
              <w:t>(提供具有CNAS标志的检测机构的检测报告复印件加盖制造商公章)</w:t>
            </w:r>
          </w:p>
          <w:p>
            <w:pPr>
              <w:widowControl/>
              <w:jc w:val="left"/>
              <w:textAlignment w:val="top"/>
              <w:rPr>
                <w:rFonts w:ascii="宋体" w:hAnsi="宋体" w:cs="宋体"/>
                <w:color w:val="000000"/>
                <w:sz w:val="24"/>
              </w:rPr>
            </w:pPr>
            <w:r>
              <w:rPr>
                <w:rFonts w:hint="eastAsia" w:ascii="宋体" w:hAnsi="宋体" w:cs="宋体"/>
                <w:color w:val="000000"/>
                <w:sz w:val="24"/>
              </w:rPr>
              <w:t>最低照度成像：彩色 0.05Lux/F1.6,黑白 0.01Lux/F1.6</w:t>
            </w:r>
          </w:p>
          <w:p>
            <w:pPr>
              <w:widowControl/>
              <w:jc w:val="left"/>
              <w:textAlignment w:val="top"/>
              <w:rPr>
                <w:rFonts w:ascii="宋体" w:hAnsi="宋体" w:cs="宋体"/>
                <w:color w:val="000000"/>
                <w:sz w:val="24"/>
              </w:rPr>
            </w:pPr>
            <w:r>
              <w:rPr>
                <w:rFonts w:hint="eastAsia" w:ascii="宋体" w:hAnsi="宋体" w:cs="宋体"/>
                <w:color w:val="000000"/>
                <w:sz w:val="24"/>
              </w:rPr>
              <w:t>需支持内置Micro SD卡插槽，支持Micro SD卡存储</w:t>
            </w:r>
          </w:p>
          <w:p>
            <w:pPr>
              <w:widowControl/>
              <w:jc w:val="left"/>
              <w:textAlignment w:val="top"/>
              <w:rPr>
                <w:rFonts w:ascii="宋体" w:hAnsi="宋体" w:cs="宋体"/>
                <w:color w:val="000000"/>
                <w:sz w:val="24"/>
              </w:rPr>
            </w:pPr>
            <w:r>
              <w:rPr>
                <w:rFonts w:hint="eastAsia" w:ascii="宋体" w:hAnsi="宋体" w:cs="宋体"/>
                <w:color w:val="000000"/>
                <w:sz w:val="24"/>
              </w:rPr>
              <w:t>需支持120dB超宽动态、支持强光抑制、电子防抖等</w:t>
            </w:r>
          </w:p>
          <w:p>
            <w:pPr>
              <w:widowControl/>
              <w:jc w:val="left"/>
              <w:textAlignment w:val="top"/>
              <w:rPr>
                <w:rFonts w:ascii="宋体" w:hAnsi="宋体" w:cs="宋体"/>
                <w:color w:val="000000"/>
                <w:sz w:val="24"/>
              </w:rPr>
            </w:pPr>
            <w:r>
              <w:rPr>
                <w:rFonts w:hint="eastAsia" w:ascii="宋体" w:hAnsi="宋体" w:cs="宋体"/>
                <w:color w:val="000000"/>
                <w:sz w:val="24"/>
              </w:rPr>
              <w:t>接口需要具备1路音频输入、1路音频输出、1路报警输入、1路报警输出、1路HDMI视频输出接口、1路3G-SDI视频输出接口、1个RS485接口、一个RS232接口、一个10M/100M自适应RJ45网络接口</w:t>
            </w:r>
          </w:p>
          <w:p>
            <w:pPr>
              <w:widowControl/>
              <w:jc w:val="left"/>
              <w:textAlignment w:val="top"/>
              <w:rPr>
                <w:rFonts w:ascii="宋体" w:hAnsi="宋体" w:cs="宋体"/>
                <w:color w:val="000000"/>
                <w:sz w:val="24"/>
              </w:rPr>
            </w:pPr>
            <w:r>
              <w:rPr>
                <w:rFonts w:hint="eastAsia" w:ascii="宋体" w:hAnsi="宋体" w:cs="宋体"/>
                <w:color w:val="000000"/>
                <w:sz w:val="24"/>
              </w:rPr>
              <w:t xml:space="preserve">图像输出支持1920*1080P@60fps、1920*1080P@30fps、1920*1080P@50fps、1920*1080P@25fps、1920*1080I@60fps、1920*1080I@50fps、1280*720P@60fps、1280*720P@50fps等多种输出格式； </w:t>
            </w:r>
          </w:p>
          <w:p>
            <w:pPr>
              <w:widowControl/>
              <w:jc w:val="left"/>
              <w:textAlignment w:val="top"/>
              <w:rPr>
                <w:rFonts w:ascii="宋体" w:hAnsi="宋体" w:cs="宋体"/>
                <w:color w:val="000000"/>
                <w:sz w:val="24"/>
              </w:rPr>
            </w:pPr>
            <w:r>
              <w:rPr>
                <w:rFonts w:hint="eastAsia" w:ascii="宋体" w:hAnsi="宋体" w:cs="宋体"/>
                <w:color w:val="000000"/>
                <w:sz w:val="24"/>
              </w:rPr>
              <w:t>云台转动范围：垂直旋转不小于-30°～90°；水平旋转不小于0°~350°</w:t>
            </w:r>
          </w:p>
          <w:p>
            <w:pPr>
              <w:widowControl/>
              <w:jc w:val="left"/>
              <w:textAlignment w:val="top"/>
              <w:rPr>
                <w:rFonts w:ascii="宋体" w:hAnsi="宋体" w:cs="宋体"/>
                <w:b/>
                <w:bCs/>
                <w:color w:val="000000"/>
                <w:sz w:val="24"/>
              </w:rPr>
            </w:pPr>
            <w:r>
              <w:rPr>
                <w:rFonts w:hint="eastAsia" w:ascii="宋体" w:hAnsi="宋体" w:cs="宋体"/>
                <w:color w:val="000000"/>
                <w:sz w:val="24"/>
              </w:rPr>
              <w:t>需支持在额定供电电压的±25%的范围内正常工作；</w:t>
            </w:r>
            <w:r>
              <w:rPr>
                <w:rFonts w:hint="eastAsia" w:ascii="宋体" w:hAnsi="宋体" w:cs="宋体"/>
                <w:b/>
                <w:bCs/>
                <w:color w:val="000000"/>
                <w:sz w:val="24"/>
              </w:rPr>
              <w:t xml:space="preserve"> </w:t>
            </w:r>
          </w:p>
          <w:p>
            <w:pPr>
              <w:widowControl/>
              <w:jc w:val="left"/>
              <w:textAlignment w:val="top"/>
              <w:rPr>
                <w:rFonts w:ascii="宋体" w:hAnsi="宋体" w:cs="宋体"/>
                <w:color w:val="000000"/>
                <w:sz w:val="24"/>
              </w:rPr>
            </w:pPr>
            <w:r>
              <w:rPr>
                <w:rFonts w:hint="eastAsia" w:ascii="宋体" w:hAnsi="宋体" w:cs="宋体"/>
                <w:color w:val="000000"/>
                <w:sz w:val="24"/>
              </w:rPr>
              <w:t xml:space="preserve">需支持多码流输出，包含主码流、子码流和第三码流，每路码流可独立配置分辨率及帧率； </w:t>
            </w:r>
          </w:p>
          <w:p>
            <w:pPr>
              <w:widowControl/>
              <w:jc w:val="left"/>
              <w:textAlignment w:val="top"/>
              <w:rPr>
                <w:rFonts w:ascii="宋体" w:hAnsi="宋体" w:cs="宋体"/>
                <w:color w:val="000000"/>
                <w:sz w:val="24"/>
              </w:rPr>
            </w:pPr>
            <w:r>
              <w:rPr>
                <w:rFonts w:hint="eastAsia" w:ascii="宋体" w:hAnsi="宋体" w:cs="宋体"/>
                <w:color w:val="000000"/>
                <w:sz w:val="24"/>
              </w:rPr>
              <w:t>"需支持H.265、H.264、MJPEG视频编码格式，且H.264有Baseline/Main/High Profile编码能力，具有开启/关闭Smart264或Smart265功能 ； "</w:t>
            </w:r>
          </w:p>
          <w:p>
            <w:pPr>
              <w:widowControl/>
              <w:jc w:val="left"/>
              <w:textAlignment w:val="top"/>
              <w:rPr>
                <w:rFonts w:ascii="宋体" w:hAnsi="宋体" w:cs="宋体"/>
                <w:color w:val="000000"/>
                <w:sz w:val="24"/>
              </w:rPr>
            </w:pPr>
            <w:r>
              <w:rPr>
                <w:rFonts w:hint="eastAsia" w:ascii="宋体" w:hAnsi="宋体" w:cs="宋体"/>
                <w:color w:val="000000"/>
                <w:sz w:val="24"/>
              </w:rPr>
              <w:t xml:space="preserve">需支持MP2L2、G.711ulaw、G.711alaw、G.726、G.722.1、AAC及PCM音频编码格式； </w:t>
            </w:r>
          </w:p>
          <w:p>
            <w:pPr>
              <w:widowControl/>
              <w:jc w:val="left"/>
              <w:textAlignment w:val="top"/>
              <w:rPr>
                <w:rFonts w:ascii="宋体" w:hAnsi="宋体" w:cs="宋体"/>
                <w:color w:val="000000"/>
                <w:sz w:val="24"/>
              </w:rPr>
            </w:pPr>
            <w:r>
              <w:rPr>
                <w:rFonts w:hint="eastAsia" w:ascii="宋体" w:hAnsi="宋体" w:cs="宋体"/>
                <w:color w:val="000000"/>
                <w:sz w:val="24"/>
              </w:rPr>
              <w:t xml:space="preserve">输出的图像中可叠加文字和符号信息，字符需包括通道名称、时间、预置点信息、坐标信息、镜头倍数等信息； </w:t>
            </w:r>
          </w:p>
          <w:p>
            <w:pPr>
              <w:widowControl/>
              <w:jc w:val="left"/>
              <w:textAlignment w:val="top"/>
              <w:rPr>
                <w:rFonts w:ascii="宋体" w:hAnsi="宋体" w:cs="宋体"/>
                <w:color w:val="000000"/>
                <w:sz w:val="24"/>
              </w:rPr>
            </w:pPr>
            <w:r>
              <w:rPr>
                <w:rFonts w:hint="eastAsia" w:ascii="宋体" w:hAnsi="宋体" w:cs="宋体"/>
                <w:color w:val="000000"/>
                <w:sz w:val="24"/>
              </w:rPr>
              <w:t>需至少支持24块多边形区域隐私遮蔽，遮盖区域支持多种颜色可选；</w:t>
            </w:r>
          </w:p>
          <w:p>
            <w:pPr>
              <w:widowControl/>
              <w:jc w:val="left"/>
              <w:textAlignment w:val="top"/>
              <w:rPr>
                <w:rFonts w:ascii="宋体" w:hAnsi="宋体" w:cs="宋体"/>
                <w:b/>
                <w:bCs/>
                <w:color w:val="000000"/>
                <w:sz w:val="24"/>
              </w:rPr>
            </w:pPr>
            <w:r>
              <w:rPr>
                <w:rFonts w:hint="eastAsia" w:ascii="宋体" w:hAnsi="宋体" w:cs="宋体"/>
                <w:color w:val="000000"/>
                <w:sz w:val="24"/>
              </w:rPr>
              <w:t>★需具备背光补偿、宽动态、强光抑制功能；</w:t>
            </w:r>
            <w:r>
              <w:rPr>
                <w:rFonts w:hint="eastAsia" w:ascii="宋体" w:hAnsi="宋体" w:cs="宋体"/>
                <w:b/>
                <w:bCs/>
                <w:color w:val="000000"/>
                <w:sz w:val="24"/>
              </w:rPr>
              <w:t xml:space="preserve"> (提供具有CNAS标志的检测机构的检测报告复印件加盖制造商公章)</w:t>
            </w:r>
          </w:p>
          <w:p>
            <w:pPr>
              <w:widowControl/>
              <w:jc w:val="left"/>
              <w:textAlignment w:val="top"/>
              <w:rPr>
                <w:rFonts w:ascii="宋体" w:hAnsi="宋体" w:cs="宋体"/>
                <w:color w:val="000000"/>
                <w:sz w:val="24"/>
              </w:rPr>
            </w:pPr>
            <w:r>
              <w:rPr>
                <w:rFonts w:hint="eastAsia" w:ascii="宋体" w:hAnsi="宋体" w:cs="宋体"/>
                <w:color w:val="000000"/>
                <w:sz w:val="24"/>
              </w:rPr>
              <w:t>应具备自动镜像的功能；</w:t>
            </w:r>
          </w:p>
          <w:p>
            <w:pPr>
              <w:widowControl/>
              <w:jc w:val="left"/>
              <w:textAlignment w:val="top"/>
              <w:rPr>
                <w:rFonts w:ascii="宋体" w:hAnsi="宋体" w:cs="宋体"/>
                <w:b/>
                <w:bCs/>
                <w:color w:val="000000"/>
                <w:sz w:val="24"/>
              </w:rPr>
            </w:pPr>
            <w:r>
              <w:rPr>
                <w:rFonts w:hint="eastAsia" w:ascii="宋体" w:hAnsi="宋体" w:cs="宋体"/>
                <w:color w:val="000000"/>
                <w:sz w:val="24"/>
              </w:rPr>
              <w:t>应具备至少300个预置点，支持存预置位和调预置位功能；</w:t>
            </w:r>
          </w:p>
          <w:p>
            <w:pPr>
              <w:widowControl/>
              <w:jc w:val="left"/>
              <w:textAlignment w:val="top"/>
              <w:rPr>
                <w:rFonts w:ascii="宋体" w:hAnsi="宋体" w:cs="宋体"/>
                <w:color w:val="000000"/>
                <w:sz w:val="24"/>
              </w:rPr>
            </w:pPr>
            <w:r>
              <w:rPr>
                <w:rFonts w:hint="eastAsia" w:ascii="宋体" w:hAnsi="宋体" w:cs="宋体"/>
                <w:color w:val="000000"/>
                <w:sz w:val="24"/>
              </w:rPr>
              <w:t xml:space="preserve">需按照所设置的预置位完成至少8条巡航路径,每条巡航至少可设置32个预置点； </w:t>
            </w:r>
          </w:p>
          <w:p>
            <w:pPr>
              <w:widowControl/>
              <w:jc w:val="left"/>
              <w:textAlignment w:val="top"/>
              <w:rPr>
                <w:rFonts w:ascii="宋体" w:hAnsi="宋体" w:cs="宋体"/>
                <w:color w:val="000000"/>
                <w:sz w:val="24"/>
              </w:rPr>
            </w:pPr>
            <w:r>
              <w:rPr>
                <w:rFonts w:hint="eastAsia" w:ascii="宋体" w:hAnsi="宋体" w:cs="宋体"/>
                <w:color w:val="000000"/>
                <w:sz w:val="24"/>
              </w:rPr>
              <w:t>需支持遥控器控制；</w:t>
            </w:r>
          </w:p>
        </w:tc>
        <w:tc>
          <w:tcPr>
            <w:tcW w:w="62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515"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423"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烹饪基地西餐实训室、烹饪基地中西面点实训室、烹饪基地烘焙B实训室、烹饪基地烘焙C实训室、烹饪基地烘焙D实训室各1台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153"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教师近景摄像机</w:t>
            </w:r>
          </w:p>
        </w:tc>
        <w:tc>
          <w:tcPr>
            <w:tcW w:w="6228" w:type="dxa"/>
            <w:shd w:val="clear" w:color="auto" w:fill="auto"/>
            <w:vAlign w:val="center"/>
          </w:tcPr>
          <w:p>
            <w:pPr>
              <w:widowControl/>
              <w:jc w:val="left"/>
              <w:textAlignment w:val="top"/>
              <w:rPr>
                <w:rFonts w:ascii="宋体" w:hAnsi="宋体" w:cs="宋体"/>
                <w:color w:val="000000"/>
                <w:sz w:val="24"/>
              </w:rPr>
            </w:pPr>
            <w:r>
              <w:rPr>
                <w:rFonts w:hint="eastAsia" w:ascii="宋体" w:hAnsi="宋体" w:cs="宋体"/>
                <w:color w:val="000000"/>
                <w:sz w:val="24"/>
              </w:rPr>
              <w:t>10倍光学变焦镜头，焦距4.7～47mm；</w:t>
            </w:r>
            <w:r>
              <w:rPr>
                <w:rFonts w:hint="eastAsia" w:ascii="宋体" w:hAnsi="宋体" w:cs="宋体"/>
                <w:color w:val="000000"/>
                <w:sz w:val="24"/>
              </w:rPr>
              <w:br w:type="textWrapping"/>
            </w:r>
            <w:r>
              <w:rPr>
                <w:rFonts w:hint="eastAsia" w:ascii="宋体" w:hAnsi="宋体" w:cs="宋体"/>
                <w:color w:val="000000"/>
                <w:sz w:val="24"/>
              </w:rPr>
              <w:t>200万像素 逐行扫描1/2.8”CMOS；</w:t>
            </w:r>
            <w:r>
              <w:rPr>
                <w:rFonts w:hint="eastAsia" w:ascii="宋体" w:hAnsi="宋体" w:cs="宋体"/>
                <w:color w:val="000000"/>
                <w:sz w:val="24"/>
              </w:rPr>
              <w:br w:type="textWrapping"/>
            </w:r>
            <w:r>
              <w:rPr>
                <w:rFonts w:hint="eastAsia" w:ascii="宋体" w:hAnsi="宋体" w:cs="宋体"/>
                <w:color w:val="000000"/>
                <w:sz w:val="24"/>
              </w:rPr>
              <w:t>3G-SDI、HDMI、LAN等多种输出方式；</w:t>
            </w:r>
            <w:r>
              <w:rPr>
                <w:rFonts w:hint="eastAsia" w:ascii="宋体" w:hAnsi="宋体" w:cs="宋体"/>
                <w:color w:val="000000"/>
                <w:sz w:val="24"/>
              </w:rPr>
              <w:br w:type="textWrapping"/>
            </w:r>
            <w:r>
              <w:rPr>
                <w:rFonts w:hint="eastAsia" w:ascii="宋体" w:hAnsi="宋体" w:cs="宋体"/>
                <w:color w:val="000000"/>
                <w:sz w:val="24"/>
              </w:rPr>
              <w:t>支持100mm（广角）～900mm(全焦段)的近摄距离；</w:t>
            </w:r>
            <w:r>
              <w:rPr>
                <w:rFonts w:hint="eastAsia" w:ascii="宋体" w:hAnsi="宋体" w:cs="宋体"/>
                <w:color w:val="000000"/>
                <w:sz w:val="24"/>
              </w:rPr>
              <w:br w:type="textWrapping"/>
            </w:r>
            <w:r>
              <w:rPr>
                <w:rFonts w:hint="eastAsia" w:ascii="宋体" w:hAnsi="宋体" w:cs="宋体"/>
                <w:color w:val="000000"/>
                <w:sz w:val="24"/>
              </w:rPr>
              <w:t>支持在室内光线、高亮等多种环境下使用；</w:t>
            </w:r>
            <w:r>
              <w:rPr>
                <w:rFonts w:hint="eastAsia" w:ascii="宋体" w:hAnsi="宋体" w:cs="宋体"/>
                <w:color w:val="000000"/>
                <w:sz w:val="24"/>
              </w:rPr>
              <w:br w:type="textWrapping"/>
            </w:r>
            <w:r>
              <w:rPr>
                <w:rFonts w:hint="eastAsia" w:ascii="宋体" w:hAnsi="宋体" w:cs="宋体"/>
                <w:color w:val="000000"/>
                <w:sz w:val="24"/>
              </w:rPr>
              <w:t>支持机身按键、OSD菜单、RS485、网络等多种控制方式；</w:t>
            </w:r>
            <w:r>
              <w:rPr>
                <w:rFonts w:hint="eastAsia" w:ascii="宋体" w:hAnsi="宋体" w:cs="宋体"/>
                <w:color w:val="000000"/>
                <w:sz w:val="24"/>
              </w:rPr>
              <w:br w:type="textWrapping"/>
            </w:r>
            <w:r>
              <w:rPr>
                <w:rFonts w:hint="eastAsia" w:ascii="宋体" w:hAnsi="宋体" w:cs="宋体"/>
                <w:color w:val="000000"/>
                <w:sz w:val="24"/>
              </w:rPr>
              <w:t>-10℃ ~ 60℃，小于90％RH</w:t>
            </w:r>
          </w:p>
          <w:p>
            <w:pPr>
              <w:widowControl/>
              <w:jc w:val="left"/>
              <w:textAlignment w:val="top"/>
              <w:rPr>
                <w:rFonts w:ascii="宋体" w:hAnsi="宋体" w:cs="宋体"/>
                <w:color w:val="000000"/>
                <w:sz w:val="24"/>
              </w:rPr>
            </w:pPr>
            <w:r>
              <w:rPr>
                <w:rFonts w:hint="eastAsia" w:ascii="宋体" w:hAnsi="宋体" w:cs="宋体"/>
                <w:color w:val="000000"/>
                <w:sz w:val="24"/>
              </w:rPr>
              <w:t>需支持自动白平衡1/自动白平衡2/手动白平衡/一次白平衡的白平衡模式；</w:t>
            </w:r>
          </w:p>
          <w:p>
            <w:pPr>
              <w:widowControl/>
              <w:jc w:val="left"/>
              <w:textAlignment w:val="top"/>
              <w:rPr>
                <w:rFonts w:ascii="宋体" w:hAnsi="宋体" w:cs="宋体"/>
                <w:color w:val="000000"/>
                <w:sz w:val="24"/>
              </w:rPr>
            </w:pPr>
            <w:r>
              <w:rPr>
                <w:rFonts w:hint="eastAsia" w:ascii="宋体" w:hAnsi="宋体" w:cs="宋体"/>
                <w:color w:val="000000"/>
                <w:sz w:val="24"/>
              </w:rPr>
              <w:t>设备3G-SDI接口图像输出支持1920*1080P@60fps、1920*1080P@30fps、1920*1080P@50fps、1920*1080P@25fps、1920*1080I@60fps、1920*1080I@50fps、1280*720P@60fps、1280*720P@50fps；</w:t>
            </w:r>
          </w:p>
          <w:p>
            <w:pPr>
              <w:widowControl/>
              <w:jc w:val="left"/>
              <w:textAlignment w:val="top"/>
              <w:rPr>
                <w:rFonts w:ascii="宋体" w:hAnsi="宋体" w:cs="宋体"/>
                <w:color w:val="000000"/>
                <w:sz w:val="24"/>
              </w:rPr>
            </w:pPr>
            <w:r>
              <w:rPr>
                <w:rFonts w:hint="eastAsia" w:ascii="宋体" w:hAnsi="宋体" w:cs="宋体"/>
                <w:color w:val="000000"/>
                <w:sz w:val="24"/>
              </w:rPr>
              <w:t>需支持H.265、H.264、MJPEG编码格式，可将H.264格式编码复杂度设置为低/中/高，主码流具有开启/关闭 Smart264、Smart265功能；</w:t>
            </w:r>
          </w:p>
          <w:p>
            <w:pPr>
              <w:widowControl/>
              <w:jc w:val="left"/>
              <w:textAlignment w:val="top"/>
              <w:rPr>
                <w:rFonts w:ascii="宋体" w:hAnsi="宋体" w:cs="宋体"/>
                <w:color w:val="000000"/>
                <w:sz w:val="24"/>
              </w:rPr>
            </w:pPr>
            <w:r>
              <w:rPr>
                <w:rFonts w:hint="eastAsia" w:ascii="宋体" w:hAnsi="宋体" w:cs="宋体"/>
                <w:color w:val="000000"/>
                <w:sz w:val="24"/>
              </w:rPr>
              <w:t>需支持主码流，子码流，三码流，每路码流可独立配置分辨率和帧率；</w:t>
            </w:r>
          </w:p>
          <w:p>
            <w:pPr>
              <w:widowControl/>
              <w:jc w:val="left"/>
              <w:textAlignment w:val="top"/>
              <w:rPr>
                <w:rFonts w:ascii="宋体" w:hAnsi="宋体" w:cs="宋体"/>
                <w:color w:val="000000"/>
                <w:sz w:val="24"/>
              </w:rPr>
            </w:pPr>
            <w:r>
              <w:rPr>
                <w:rFonts w:hint="eastAsia" w:ascii="宋体" w:hAnsi="宋体" w:cs="宋体"/>
                <w:color w:val="000000"/>
                <w:sz w:val="24"/>
              </w:rPr>
              <w:t>设备需具备手动聚焦/半自动聚焦和自动聚焦的聚焦模式；</w:t>
            </w:r>
          </w:p>
          <w:p>
            <w:pPr>
              <w:widowControl/>
              <w:jc w:val="left"/>
              <w:textAlignment w:val="top"/>
              <w:rPr>
                <w:rFonts w:ascii="宋体" w:hAnsi="宋体" w:cs="宋体"/>
                <w:b/>
                <w:bCs/>
                <w:color w:val="000000"/>
                <w:sz w:val="24"/>
              </w:rPr>
            </w:pPr>
            <w:r>
              <w:rPr>
                <w:rFonts w:hint="eastAsia" w:ascii="宋体" w:hAnsi="宋体" w:cs="宋体"/>
                <w:color w:val="000000"/>
                <w:sz w:val="24"/>
              </w:rPr>
              <w:t>★相机拍摄需支持在100mm距离处聚焦，图像聚焦清晰；</w:t>
            </w:r>
            <w:r>
              <w:rPr>
                <w:rFonts w:hint="eastAsia" w:ascii="宋体" w:hAnsi="宋体" w:cs="宋体"/>
                <w:b/>
                <w:bCs/>
                <w:color w:val="000000"/>
                <w:sz w:val="24"/>
              </w:rPr>
              <w:t>（提供具有CNAS标志的检测机构的检测报告复印件加盖制造商公章）</w:t>
            </w:r>
          </w:p>
          <w:p>
            <w:pPr>
              <w:widowControl/>
              <w:jc w:val="left"/>
              <w:textAlignment w:val="top"/>
              <w:rPr>
                <w:rFonts w:ascii="宋体" w:hAnsi="宋体" w:cs="宋体"/>
                <w:color w:val="000000"/>
                <w:sz w:val="24"/>
              </w:rPr>
            </w:pPr>
            <w:r>
              <w:rPr>
                <w:rFonts w:hint="eastAsia" w:ascii="宋体" w:hAnsi="宋体" w:cs="宋体"/>
                <w:color w:val="000000"/>
                <w:sz w:val="24"/>
              </w:rPr>
              <w:t>需具备自动曝光、光圈优先、快门优先、手动曝光的曝光模式；</w:t>
            </w:r>
          </w:p>
          <w:p>
            <w:pPr>
              <w:widowControl/>
              <w:jc w:val="left"/>
              <w:textAlignment w:val="top"/>
              <w:rPr>
                <w:rFonts w:ascii="宋体" w:hAnsi="宋体" w:cs="宋体"/>
                <w:color w:val="000000"/>
                <w:sz w:val="24"/>
              </w:rPr>
            </w:pPr>
            <w:r>
              <w:rPr>
                <w:rFonts w:hint="eastAsia" w:ascii="宋体" w:hAnsi="宋体" w:cs="宋体"/>
                <w:color w:val="000000"/>
                <w:sz w:val="24"/>
              </w:rPr>
              <w:t>★需支持通过机身按键面板对相机进行辅助控制，面板可以调出OSD菜单；</w:t>
            </w:r>
            <w:r>
              <w:rPr>
                <w:rFonts w:hint="eastAsia" w:ascii="宋体" w:hAnsi="宋体" w:cs="宋体"/>
                <w:b/>
                <w:bCs/>
                <w:color w:val="000000"/>
                <w:sz w:val="24"/>
              </w:rPr>
              <w:t>（提供具有CNAS标志的检测机构的检测报告复印件加盖制造商公章）</w:t>
            </w:r>
          </w:p>
          <w:p>
            <w:pPr>
              <w:widowControl/>
              <w:jc w:val="left"/>
              <w:textAlignment w:val="top"/>
              <w:rPr>
                <w:rFonts w:ascii="宋体" w:hAnsi="宋体" w:cs="宋体"/>
                <w:color w:val="000000"/>
                <w:sz w:val="24"/>
              </w:rPr>
            </w:pPr>
            <w:r>
              <w:rPr>
                <w:rFonts w:hint="eastAsia" w:ascii="宋体" w:hAnsi="宋体" w:cs="宋体"/>
                <w:color w:val="000000"/>
                <w:sz w:val="24"/>
              </w:rPr>
              <w:t>设备能额定电源电压DC12V的-25%~+25%范围内正常工作；</w:t>
            </w:r>
          </w:p>
          <w:p>
            <w:pPr>
              <w:widowControl/>
              <w:jc w:val="left"/>
              <w:textAlignment w:val="top"/>
              <w:rPr>
                <w:rFonts w:ascii="宋体" w:hAnsi="宋体" w:cs="宋体"/>
                <w:color w:val="000000"/>
                <w:sz w:val="24"/>
              </w:rPr>
            </w:pPr>
            <w:r>
              <w:rPr>
                <w:rFonts w:hint="eastAsia" w:ascii="宋体" w:hAnsi="宋体" w:cs="宋体"/>
                <w:color w:val="000000"/>
                <w:sz w:val="24"/>
              </w:rPr>
              <w:t>需具备1个10M/100M自适应RJ45网络接口，1个3G-SDI信号接口，1个HDMI接口，1个RS485接口；</w:t>
            </w:r>
          </w:p>
          <w:p>
            <w:pPr>
              <w:widowControl/>
              <w:jc w:val="left"/>
              <w:rPr>
                <w:rFonts w:ascii="宋体" w:hAnsi="宋体" w:cs="宋体"/>
                <w:color w:val="000000"/>
                <w:sz w:val="24"/>
              </w:rPr>
            </w:pPr>
            <w:r>
              <w:rPr>
                <w:rFonts w:hint="eastAsia" w:ascii="宋体" w:hAnsi="宋体" w:cs="宋体"/>
                <w:color w:val="000000"/>
                <w:sz w:val="24"/>
              </w:rPr>
              <w:t>★水平亮度分解力大于等于1000（HDMI接口，输出图像格式为1920*1080P@60fps）。</w:t>
            </w:r>
            <w:r>
              <w:rPr>
                <w:rFonts w:hint="eastAsia" w:ascii="宋体" w:hAnsi="宋体" w:cs="宋体"/>
                <w:b/>
                <w:bCs/>
                <w:color w:val="000000"/>
                <w:sz w:val="24"/>
              </w:rPr>
              <w:t>（提供具有CNAS标志的检测机构的检测报告复印件加盖制造商公章。）</w:t>
            </w:r>
          </w:p>
        </w:tc>
        <w:tc>
          <w:tcPr>
            <w:tcW w:w="62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515"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51</w:t>
            </w:r>
          </w:p>
        </w:tc>
        <w:tc>
          <w:tcPr>
            <w:tcW w:w="1423"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烹饪基地西餐实训室*14台、烹饪基地中西面点实训室*13台、烹饪基地烘焙B实训室*8台、烹饪基地烘焙C实训室*8台、烹饪基地烘焙D实训室*8台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153"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万向吊臂支架</w:t>
            </w:r>
          </w:p>
        </w:tc>
        <w:tc>
          <w:tcPr>
            <w:tcW w:w="6228" w:type="dxa"/>
            <w:shd w:val="clear" w:color="auto" w:fill="auto"/>
            <w:vAlign w:val="center"/>
          </w:tcPr>
          <w:p>
            <w:pPr>
              <w:widowControl/>
              <w:jc w:val="left"/>
              <w:rPr>
                <w:rFonts w:ascii="宋体" w:hAnsi="宋体" w:cs="宋体"/>
                <w:color w:val="000000"/>
                <w:sz w:val="24"/>
              </w:rPr>
            </w:pPr>
            <w:r>
              <w:rPr>
                <w:rFonts w:hint="eastAsia" w:ascii="宋体" w:hAnsi="宋体" w:cs="宋体"/>
                <w:color w:val="000000"/>
                <w:sz w:val="24"/>
              </w:rPr>
              <w:t>吊顶装</w:t>
            </w:r>
            <w:r>
              <w:rPr>
                <w:rFonts w:hint="eastAsia" w:ascii="宋体" w:hAnsi="宋体" w:cs="宋体"/>
                <w:color w:val="000000"/>
                <w:sz w:val="24"/>
              </w:rPr>
              <w:br w:type="textWrapping"/>
            </w:r>
            <w:r>
              <w:rPr>
                <w:rFonts w:hint="eastAsia" w:ascii="宋体" w:hAnsi="宋体" w:cs="宋体"/>
                <w:color w:val="000000"/>
                <w:sz w:val="24"/>
              </w:rPr>
              <w:t>材质 铝合金</w:t>
            </w:r>
            <w:r>
              <w:rPr>
                <w:rFonts w:hint="eastAsia" w:ascii="宋体" w:hAnsi="宋体" w:cs="宋体"/>
                <w:color w:val="000000"/>
                <w:sz w:val="24"/>
              </w:rPr>
              <w:br w:type="textWrapping"/>
            </w:r>
            <w:r>
              <w:rPr>
                <w:rFonts w:hint="eastAsia" w:ascii="宋体" w:hAnsi="宋体" w:cs="宋体"/>
                <w:color w:val="000000"/>
                <w:sz w:val="24"/>
              </w:rPr>
              <w:t>关节旋转 540度</w:t>
            </w:r>
            <w:r>
              <w:rPr>
                <w:rFonts w:hint="eastAsia" w:ascii="宋体" w:hAnsi="宋体" w:cs="宋体"/>
                <w:color w:val="000000"/>
                <w:sz w:val="24"/>
              </w:rPr>
              <w:br w:type="textWrapping"/>
            </w:r>
            <w:r>
              <w:rPr>
                <w:rFonts w:hint="eastAsia" w:ascii="宋体" w:hAnsi="宋体" w:cs="宋体"/>
                <w:color w:val="000000"/>
                <w:sz w:val="24"/>
              </w:rPr>
              <w:t>横向长度 1200mm</w:t>
            </w:r>
            <w:r>
              <w:rPr>
                <w:rFonts w:hint="eastAsia" w:ascii="宋体" w:hAnsi="宋体" w:cs="宋体"/>
                <w:color w:val="000000"/>
                <w:sz w:val="24"/>
              </w:rPr>
              <w:br w:type="textWrapping"/>
            </w:r>
            <w:r>
              <w:rPr>
                <w:rFonts w:hint="eastAsia" w:ascii="宋体" w:hAnsi="宋体" w:cs="宋体"/>
                <w:color w:val="000000"/>
                <w:sz w:val="24"/>
              </w:rPr>
              <w:t>升降范围 500mm</w:t>
            </w:r>
          </w:p>
          <w:p>
            <w:pPr>
              <w:widowControl/>
              <w:jc w:val="left"/>
              <w:rPr>
                <w:rFonts w:ascii="宋体" w:hAnsi="宋体" w:cs="宋体"/>
                <w:color w:val="000000"/>
                <w:kern w:val="0"/>
                <w:sz w:val="24"/>
              </w:rPr>
            </w:pPr>
            <w:r>
              <w:rPr>
                <w:rFonts w:hint="eastAsia" w:ascii="宋体" w:hAnsi="宋体" w:cs="宋体"/>
                <w:color w:val="000000"/>
                <w:sz w:val="24"/>
              </w:rPr>
              <w:t>支持任意位置无感悬停</w:t>
            </w:r>
            <w:r>
              <w:rPr>
                <w:rFonts w:hint="eastAsia" w:ascii="宋体" w:hAnsi="宋体" w:cs="宋体"/>
                <w:color w:val="000000"/>
                <w:sz w:val="24"/>
              </w:rPr>
              <w:br w:type="textWrapping"/>
            </w:r>
            <w:r>
              <w:rPr>
                <w:rFonts w:hint="eastAsia" w:ascii="宋体" w:hAnsi="宋体" w:cs="宋体"/>
                <w:color w:val="000000"/>
                <w:sz w:val="24"/>
              </w:rPr>
              <w:t>升降寿命 20万次</w:t>
            </w:r>
          </w:p>
        </w:tc>
        <w:tc>
          <w:tcPr>
            <w:tcW w:w="62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515"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51</w:t>
            </w:r>
          </w:p>
        </w:tc>
        <w:tc>
          <w:tcPr>
            <w:tcW w:w="1423"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烹饪基地西餐实训室*14套、烹饪基地中西面点实训室*13套、烹饪基地烘焙B实训室*8台、烹饪基地烘焙C实训室*8套、烹饪基地烘焙D实训室*8套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153"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交互终端</w:t>
            </w:r>
          </w:p>
        </w:tc>
        <w:tc>
          <w:tcPr>
            <w:tcW w:w="6228" w:type="dxa"/>
            <w:shd w:val="clear" w:color="auto" w:fill="auto"/>
            <w:vAlign w:val="center"/>
          </w:tcPr>
          <w:p>
            <w:pPr>
              <w:widowControl/>
              <w:jc w:val="left"/>
              <w:textAlignment w:val="top"/>
              <w:rPr>
                <w:rFonts w:ascii="宋体" w:hAnsi="宋体" w:cs="宋体"/>
                <w:b/>
                <w:bCs/>
                <w:color w:val="000000"/>
                <w:sz w:val="24"/>
              </w:rPr>
            </w:pPr>
            <w:r>
              <w:rPr>
                <w:rFonts w:hint="eastAsia" w:ascii="宋体" w:hAnsi="宋体" w:cs="宋体"/>
                <w:color w:val="000000"/>
                <w:sz w:val="24"/>
              </w:rPr>
              <w:t>★设备应具备大于4路本地视频输入：包含1路HDMI2.0及其同源的HDBaset（RJ45接口）、1路HDMI2.0、1路3G SDI接口、1路USB</w:t>
            </w:r>
            <w:r>
              <w:rPr>
                <w:rFonts w:hint="eastAsia" w:ascii="宋体" w:hAnsi="宋体" w:cs="宋体"/>
                <w:b/>
                <w:bCs/>
                <w:color w:val="000000"/>
                <w:sz w:val="24"/>
              </w:rPr>
              <w:t>（提供具有CNAS标志的检测机构的检测报告复印件加盖制造商公章）</w:t>
            </w:r>
          </w:p>
          <w:p>
            <w:pPr>
              <w:widowControl/>
              <w:jc w:val="left"/>
              <w:textAlignment w:val="top"/>
              <w:rPr>
                <w:rFonts w:ascii="宋体" w:hAnsi="宋体" w:cs="宋体"/>
                <w:color w:val="000000"/>
                <w:sz w:val="24"/>
              </w:rPr>
            </w:pPr>
            <w:r>
              <w:rPr>
                <w:rFonts w:hint="eastAsia" w:ascii="宋体" w:hAnsi="宋体" w:cs="宋体"/>
                <w:color w:val="000000"/>
                <w:sz w:val="24"/>
              </w:rPr>
              <w:t>设备应具备大于1路HDMI2.0本地视频输出接口</w:t>
            </w:r>
          </w:p>
          <w:p>
            <w:pPr>
              <w:widowControl/>
              <w:jc w:val="left"/>
              <w:textAlignment w:val="top"/>
              <w:rPr>
                <w:rFonts w:ascii="宋体" w:hAnsi="宋体" w:cs="宋体"/>
                <w:color w:val="000000"/>
                <w:sz w:val="24"/>
              </w:rPr>
            </w:pPr>
            <w:r>
              <w:rPr>
                <w:rFonts w:hint="eastAsia" w:ascii="宋体" w:hAnsi="宋体" w:cs="宋体"/>
                <w:color w:val="000000"/>
                <w:sz w:val="24"/>
              </w:rPr>
              <w:t>设备应具备音频输输出接口</w:t>
            </w:r>
          </w:p>
          <w:p>
            <w:pPr>
              <w:widowControl/>
              <w:jc w:val="left"/>
              <w:textAlignment w:val="top"/>
              <w:rPr>
                <w:rFonts w:ascii="宋体" w:hAnsi="宋体" w:cs="宋体"/>
                <w:color w:val="000000"/>
                <w:sz w:val="24"/>
              </w:rPr>
            </w:pPr>
            <w:r>
              <w:rPr>
                <w:rFonts w:hint="eastAsia" w:ascii="宋体" w:hAnsi="宋体" w:cs="宋体"/>
                <w:color w:val="000000"/>
                <w:sz w:val="24"/>
              </w:rPr>
              <w:t>设备应具备大于1个RJ45 10M/100M/1000M自适应以太网口</w:t>
            </w:r>
          </w:p>
          <w:p>
            <w:pPr>
              <w:widowControl/>
              <w:jc w:val="left"/>
              <w:textAlignment w:val="top"/>
              <w:rPr>
                <w:rFonts w:ascii="宋体" w:hAnsi="宋体" w:cs="宋体"/>
                <w:color w:val="000000"/>
                <w:sz w:val="24"/>
              </w:rPr>
            </w:pPr>
            <w:r>
              <w:rPr>
                <w:rFonts w:hint="eastAsia" w:ascii="宋体" w:hAnsi="宋体" w:cs="宋体"/>
                <w:color w:val="000000"/>
                <w:sz w:val="24"/>
              </w:rPr>
              <w:t>设备应具备1个USB3.0前置，3个USB2.0后置接口</w:t>
            </w:r>
          </w:p>
          <w:p>
            <w:pPr>
              <w:widowControl/>
              <w:jc w:val="left"/>
              <w:textAlignment w:val="top"/>
              <w:rPr>
                <w:rFonts w:ascii="宋体" w:hAnsi="宋体" w:cs="宋体"/>
                <w:color w:val="000000"/>
                <w:sz w:val="24"/>
              </w:rPr>
            </w:pPr>
            <w:r>
              <w:rPr>
                <w:rFonts w:hint="eastAsia" w:ascii="宋体" w:hAnsi="宋体" w:cs="宋体"/>
                <w:color w:val="000000"/>
                <w:sz w:val="24"/>
              </w:rPr>
              <w:t>设备应具备1*RS-232串行接口和1*RS-485接口，接线端子</w:t>
            </w:r>
          </w:p>
          <w:p>
            <w:pPr>
              <w:widowControl/>
              <w:jc w:val="left"/>
              <w:textAlignment w:val="top"/>
              <w:rPr>
                <w:rFonts w:ascii="宋体" w:hAnsi="宋体" w:cs="宋体"/>
                <w:color w:val="000000"/>
                <w:sz w:val="24"/>
              </w:rPr>
            </w:pPr>
            <w:r>
              <w:rPr>
                <w:rFonts w:hint="eastAsia" w:ascii="宋体" w:hAnsi="宋体" w:cs="宋体"/>
                <w:color w:val="000000"/>
                <w:sz w:val="24"/>
              </w:rPr>
              <w:t>设备应具备7个按键，从左到右分别为录像、抓图、NEXT、+、菜单、-、电源；</w:t>
            </w:r>
          </w:p>
          <w:p>
            <w:pPr>
              <w:widowControl/>
              <w:jc w:val="left"/>
              <w:textAlignment w:val="top"/>
              <w:rPr>
                <w:rFonts w:ascii="宋体" w:hAnsi="宋体" w:cs="宋体"/>
                <w:color w:val="000000"/>
                <w:sz w:val="24"/>
              </w:rPr>
            </w:pPr>
            <w:r>
              <w:rPr>
                <w:rFonts w:hint="eastAsia" w:ascii="宋体" w:hAnsi="宋体" w:cs="宋体"/>
                <w:color w:val="000000"/>
                <w:sz w:val="24"/>
              </w:rPr>
              <w:t>★设备应具备27寸4k触摸显示屏</w:t>
            </w:r>
            <w:r>
              <w:rPr>
                <w:rFonts w:hint="eastAsia" w:ascii="宋体" w:hAnsi="宋体" w:cs="宋体"/>
                <w:b/>
                <w:bCs/>
                <w:color w:val="000000"/>
                <w:sz w:val="24"/>
              </w:rPr>
              <w:t>（提供具有CNAS标志的检测机构的检测报告复印件加盖制造商公章）</w:t>
            </w:r>
          </w:p>
          <w:p>
            <w:pPr>
              <w:widowControl/>
              <w:jc w:val="left"/>
              <w:textAlignment w:val="top"/>
              <w:rPr>
                <w:rFonts w:ascii="宋体" w:hAnsi="宋体" w:cs="宋体"/>
                <w:color w:val="000000"/>
                <w:sz w:val="24"/>
              </w:rPr>
            </w:pPr>
            <w:r>
              <w:rPr>
                <w:rFonts w:hint="eastAsia" w:ascii="宋体" w:hAnsi="宋体" w:cs="宋体"/>
                <w:color w:val="000000"/>
                <w:sz w:val="24"/>
              </w:rPr>
              <w:t>设备可通过网线给相机供电</w:t>
            </w:r>
          </w:p>
          <w:p>
            <w:pPr>
              <w:widowControl/>
              <w:jc w:val="left"/>
              <w:textAlignment w:val="top"/>
              <w:rPr>
                <w:rFonts w:ascii="宋体" w:hAnsi="宋体" w:cs="宋体"/>
                <w:color w:val="000000"/>
                <w:sz w:val="24"/>
              </w:rPr>
            </w:pPr>
            <w:r>
              <w:rPr>
                <w:rFonts w:hint="eastAsia" w:ascii="宋体" w:hAnsi="宋体" w:cs="宋体"/>
                <w:color w:val="000000"/>
                <w:sz w:val="24"/>
              </w:rPr>
              <w:t>设备支持多画面融合并进行存储</w:t>
            </w:r>
          </w:p>
          <w:p>
            <w:pPr>
              <w:widowControl/>
              <w:jc w:val="left"/>
              <w:textAlignment w:val="top"/>
              <w:rPr>
                <w:rFonts w:ascii="宋体" w:hAnsi="宋体" w:cs="宋体"/>
                <w:b/>
                <w:bCs/>
                <w:color w:val="000000"/>
                <w:sz w:val="24"/>
              </w:rPr>
            </w:pPr>
            <w:r>
              <w:rPr>
                <w:rFonts w:hint="eastAsia" w:ascii="宋体" w:hAnsi="宋体" w:cs="宋体"/>
                <w:color w:val="000000"/>
                <w:sz w:val="24"/>
              </w:rPr>
              <w:t>★设备在画中画融合模式下，可以支持小画面的自由拖动和缩放控制</w:t>
            </w:r>
            <w:r>
              <w:rPr>
                <w:rFonts w:hint="eastAsia" w:ascii="宋体" w:hAnsi="宋体" w:cs="宋体"/>
                <w:b/>
                <w:bCs/>
                <w:color w:val="000000"/>
                <w:sz w:val="24"/>
              </w:rPr>
              <w:t>（提供具有CNAS标志的检测机构的检测报告复印件加盖制造商公章）</w:t>
            </w:r>
          </w:p>
          <w:p>
            <w:pPr>
              <w:widowControl/>
              <w:jc w:val="left"/>
              <w:textAlignment w:val="top"/>
              <w:rPr>
                <w:rFonts w:ascii="宋体" w:hAnsi="宋体" w:cs="宋体"/>
                <w:b/>
                <w:bCs/>
                <w:color w:val="000000"/>
                <w:sz w:val="24"/>
              </w:rPr>
            </w:pPr>
            <w:r>
              <w:rPr>
                <w:rFonts w:hint="eastAsia" w:ascii="宋体" w:hAnsi="宋体" w:cs="宋体"/>
                <w:color w:val="000000"/>
                <w:sz w:val="24"/>
              </w:rPr>
              <w:t>相机通过本地视频接入并进行融合画面显示，画面延时小于250ms</w:t>
            </w:r>
          </w:p>
          <w:p>
            <w:pPr>
              <w:widowControl/>
              <w:jc w:val="left"/>
              <w:textAlignment w:val="top"/>
              <w:rPr>
                <w:rFonts w:ascii="宋体" w:hAnsi="宋体" w:cs="宋体"/>
                <w:color w:val="000000"/>
                <w:sz w:val="24"/>
              </w:rPr>
            </w:pPr>
            <w:r>
              <w:rPr>
                <w:rFonts w:hint="eastAsia" w:ascii="宋体" w:hAnsi="宋体" w:cs="宋体"/>
                <w:color w:val="000000"/>
                <w:sz w:val="24"/>
              </w:rPr>
              <w:t>支持H.264、H.265编码格式，编码分辨率CIF~4K可设，码率32Kbps~16Mbps可设。</w:t>
            </w:r>
          </w:p>
          <w:p>
            <w:pPr>
              <w:widowControl/>
              <w:jc w:val="left"/>
              <w:textAlignment w:val="top"/>
              <w:rPr>
                <w:rFonts w:ascii="宋体" w:hAnsi="宋体" w:cs="宋体"/>
                <w:color w:val="000000"/>
                <w:sz w:val="24"/>
              </w:rPr>
            </w:pPr>
            <w:r>
              <w:rPr>
                <w:rFonts w:hint="eastAsia" w:ascii="宋体" w:hAnsi="宋体" w:cs="宋体"/>
                <w:color w:val="000000"/>
                <w:sz w:val="24"/>
              </w:rPr>
              <w:t>支持不小于12路的IPC通道，支持IPC预览和录像存储</w:t>
            </w:r>
          </w:p>
          <w:p>
            <w:pPr>
              <w:widowControl/>
              <w:jc w:val="left"/>
              <w:textAlignment w:val="top"/>
              <w:rPr>
                <w:rFonts w:ascii="宋体" w:hAnsi="宋体" w:cs="宋体"/>
                <w:color w:val="000000"/>
                <w:sz w:val="24"/>
              </w:rPr>
            </w:pPr>
            <w:r>
              <w:rPr>
                <w:rFonts w:hint="eastAsia" w:ascii="宋体" w:hAnsi="宋体" w:cs="宋体"/>
                <w:color w:val="000000"/>
                <w:sz w:val="24"/>
              </w:rPr>
              <w:t>支持最大4K30的视频接入和显示</w:t>
            </w:r>
          </w:p>
          <w:p>
            <w:pPr>
              <w:widowControl/>
              <w:jc w:val="left"/>
              <w:textAlignment w:val="top"/>
              <w:rPr>
                <w:rFonts w:ascii="宋体" w:hAnsi="宋体" w:cs="宋体"/>
                <w:color w:val="000000"/>
                <w:sz w:val="24"/>
              </w:rPr>
            </w:pPr>
            <w:r>
              <w:rPr>
                <w:rFonts w:hint="eastAsia" w:ascii="宋体" w:hAnsi="宋体" w:cs="宋体"/>
                <w:color w:val="000000"/>
                <w:sz w:val="24"/>
              </w:rPr>
              <w:t>设备应具备1个硬盘，支持1TB容量，可支持手动录像和手动截图</w:t>
            </w:r>
          </w:p>
          <w:p>
            <w:pPr>
              <w:widowControl/>
              <w:jc w:val="left"/>
              <w:textAlignment w:val="top"/>
              <w:rPr>
                <w:rFonts w:ascii="宋体" w:hAnsi="宋体" w:cs="宋体"/>
                <w:color w:val="000000"/>
                <w:sz w:val="24"/>
              </w:rPr>
            </w:pPr>
            <w:r>
              <w:rPr>
                <w:rFonts w:hint="eastAsia" w:ascii="宋体" w:hAnsi="宋体" w:cs="宋体"/>
                <w:color w:val="000000"/>
                <w:sz w:val="24"/>
              </w:rPr>
              <w:t>支持本地回放</w:t>
            </w:r>
          </w:p>
          <w:p>
            <w:pPr>
              <w:widowControl/>
              <w:jc w:val="left"/>
              <w:textAlignment w:val="top"/>
              <w:rPr>
                <w:rFonts w:ascii="宋体" w:hAnsi="宋体" w:cs="宋体"/>
                <w:color w:val="000000"/>
                <w:sz w:val="24"/>
              </w:rPr>
            </w:pPr>
            <w:r>
              <w:rPr>
                <w:rFonts w:hint="eastAsia" w:ascii="宋体" w:hAnsi="宋体" w:cs="宋体"/>
                <w:color w:val="000000"/>
                <w:sz w:val="24"/>
              </w:rPr>
              <w:t>支持USB外部存储介质录像导出功能（最大可支持2TB移动硬盘）</w:t>
            </w:r>
          </w:p>
          <w:p>
            <w:pPr>
              <w:widowControl/>
              <w:jc w:val="left"/>
              <w:textAlignment w:val="top"/>
              <w:rPr>
                <w:rFonts w:ascii="宋体" w:hAnsi="宋体" w:cs="宋体"/>
                <w:color w:val="000000"/>
                <w:sz w:val="24"/>
              </w:rPr>
            </w:pPr>
            <w:r>
              <w:rPr>
                <w:rFonts w:hint="eastAsia" w:ascii="宋体" w:hAnsi="宋体" w:cs="宋体"/>
                <w:color w:val="000000"/>
                <w:sz w:val="24"/>
              </w:rPr>
              <w:t>支持将录像和图片直接保存到USB接口存储外设</w:t>
            </w:r>
          </w:p>
          <w:p>
            <w:pPr>
              <w:widowControl/>
              <w:jc w:val="left"/>
              <w:textAlignment w:val="top"/>
              <w:rPr>
                <w:rFonts w:ascii="宋体" w:hAnsi="宋体" w:cs="宋体"/>
                <w:color w:val="000000"/>
                <w:sz w:val="24"/>
              </w:rPr>
            </w:pPr>
            <w:r>
              <w:rPr>
                <w:rFonts w:hint="eastAsia" w:ascii="宋体" w:hAnsi="宋体" w:cs="宋体"/>
                <w:color w:val="000000"/>
                <w:sz w:val="24"/>
              </w:rPr>
              <w:t>支持图像中叠加文字、数字等信息</w:t>
            </w:r>
          </w:p>
          <w:p>
            <w:pPr>
              <w:widowControl/>
              <w:jc w:val="left"/>
              <w:textAlignment w:val="top"/>
              <w:rPr>
                <w:rFonts w:ascii="宋体" w:hAnsi="宋体" w:cs="宋体"/>
                <w:color w:val="000000"/>
                <w:sz w:val="24"/>
              </w:rPr>
            </w:pPr>
            <w:r>
              <w:rPr>
                <w:rFonts w:hint="eastAsia" w:ascii="宋体" w:hAnsi="宋体" w:cs="宋体"/>
                <w:color w:val="000000"/>
                <w:sz w:val="24"/>
              </w:rPr>
              <w:t>支持局域网内设备间一对一音频互动功能</w:t>
            </w:r>
          </w:p>
          <w:p>
            <w:pPr>
              <w:widowControl/>
              <w:jc w:val="left"/>
              <w:textAlignment w:val="top"/>
              <w:rPr>
                <w:rFonts w:ascii="宋体" w:hAnsi="宋体" w:cs="宋体"/>
                <w:color w:val="000000"/>
                <w:sz w:val="24"/>
              </w:rPr>
            </w:pPr>
            <w:r>
              <w:rPr>
                <w:rFonts w:hint="eastAsia" w:ascii="宋体" w:hAnsi="宋体" w:cs="宋体"/>
                <w:color w:val="000000"/>
                <w:sz w:val="24"/>
              </w:rPr>
              <w:t>设备需支持对音频输入输出进行混音配置</w:t>
            </w:r>
          </w:p>
          <w:p>
            <w:pPr>
              <w:widowControl/>
              <w:jc w:val="left"/>
              <w:textAlignment w:val="top"/>
              <w:rPr>
                <w:rFonts w:ascii="宋体" w:hAnsi="宋体" w:cs="宋体"/>
                <w:color w:val="000000"/>
                <w:sz w:val="24"/>
              </w:rPr>
            </w:pPr>
            <w:r>
              <w:rPr>
                <w:rFonts w:hint="eastAsia" w:ascii="宋体" w:hAnsi="宋体" w:cs="宋体"/>
                <w:color w:val="000000"/>
                <w:sz w:val="24"/>
              </w:rPr>
              <w:t>设备应支持回音消除、智能降噪、自动调音等音频处理功能</w:t>
            </w:r>
          </w:p>
          <w:p>
            <w:pPr>
              <w:widowControl/>
              <w:jc w:val="left"/>
              <w:textAlignment w:val="top"/>
              <w:rPr>
                <w:rFonts w:ascii="宋体" w:hAnsi="宋体" w:cs="宋体"/>
                <w:color w:val="000000"/>
                <w:sz w:val="24"/>
              </w:rPr>
            </w:pPr>
            <w:r>
              <w:rPr>
                <w:rFonts w:hint="eastAsia" w:ascii="宋体" w:hAnsi="宋体" w:cs="宋体"/>
                <w:color w:val="000000"/>
                <w:sz w:val="24"/>
              </w:rPr>
              <w:t>支持web浏览器上查看系统视频画面</w:t>
            </w:r>
          </w:p>
          <w:p>
            <w:pPr>
              <w:widowControl/>
              <w:jc w:val="left"/>
              <w:textAlignment w:val="top"/>
              <w:rPr>
                <w:rFonts w:ascii="宋体" w:hAnsi="宋体" w:cs="宋体"/>
                <w:color w:val="000000"/>
                <w:sz w:val="24"/>
              </w:rPr>
            </w:pPr>
            <w:r>
              <w:rPr>
                <w:rFonts w:hint="eastAsia" w:ascii="宋体" w:hAnsi="宋体" w:cs="宋体"/>
                <w:color w:val="000000"/>
                <w:sz w:val="24"/>
              </w:rPr>
              <w:t>支持远程配置设备参数，支持远程对设备进行维护操作（升级、日志查询、恢复默认参数等）</w:t>
            </w:r>
          </w:p>
          <w:p>
            <w:pPr>
              <w:widowControl/>
              <w:jc w:val="left"/>
              <w:textAlignment w:val="top"/>
              <w:rPr>
                <w:rFonts w:ascii="宋体" w:hAnsi="宋体" w:cs="宋体"/>
                <w:color w:val="000000"/>
                <w:sz w:val="24"/>
              </w:rPr>
            </w:pPr>
            <w:r>
              <w:rPr>
                <w:rFonts w:hint="eastAsia" w:ascii="宋体" w:hAnsi="宋体" w:cs="宋体"/>
                <w:color w:val="000000"/>
                <w:sz w:val="24"/>
              </w:rPr>
              <w:t>★应支持2.4Ghz/5G双频WIFI</w:t>
            </w:r>
            <w:r>
              <w:rPr>
                <w:rFonts w:hint="eastAsia" w:ascii="宋体" w:hAnsi="宋体" w:cs="宋体"/>
                <w:b/>
                <w:bCs/>
                <w:color w:val="000000"/>
                <w:sz w:val="24"/>
              </w:rPr>
              <w:t>（提供具有CNAS标志的检测机构的检测报告复印件加盖制造商公章）</w:t>
            </w:r>
          </w:p>
          <w:p>
            <w:pPr>
              <w:widowControl/>
              <w:jc w:val="left"/>
              <w:textAlignment w:val="top"/>
              <w:rPr>
                <w:rFonts w:ascii="宋体" w:hAnsi="宋体" w:cs="宋体"/>
                <w:color w:val="000000"/>
                <w:sz w:val="24"/>
              </w:rPr>
            </w:pPr>
            <w:r>
              <w:rPr>
                <w:rFonts w:hint="eastAsia" w:ascii="宋体" w:hAnsi="宋体" w:cs="宋体"/>
                <w:color w:val="000000"/>
                <w:sz w:val="24"/>
              </w:rPr>
              <w:t>支持WIFI模式和热点模式，设备开启热点功能时，可选择开启2.4G热点或5G 热点</w:t>
            </w:r>
          </w:p>
          <w:p>
            <w:pPr>
              <w:widowControl/>
              <w:jc w:val="left"/>
              <w:textAlignment w:val="top"/>
              <w:rPr>
                <w:rFonts w:ascii="宋体" w:hAnsi="宋体" w:cs="宋体"/>
                <w:color w:val="000000"/>
                <w:sz w:val="24"/>
              </w:rPr>
            </w:pPr>
            <w:r>
              <w:rPr>
                <w:rFonts w:hint="eastAsia" w:ascii="宋体" w:hAnsi="宋体" w:cs="宋体"/>
                <w:color w:val="000000"/>
                <w:sz w:val="24"/>
              </w:rPr>
              <w:t>支持通过APP，在互联网上进行远程预览</w:t>
            </w:r>
          </w:p>
          <w:p>
            <w:pPr>
              <w:widowControl/>
              <w:jc w:val="left"/>
              <w:textAlignment w:val="top"/>
              <w:rPr>
                <w:rFonts w:ascii="宋体" w:hAnsi="宋体" w:cs="宋体"/>
                <w:color w:val="000000"/>
                <w:sz w:val="24"/>
              </w:rPr>
            </w:pPr>
            <w:r>
              <w:rPr>
                <w:rFonts w:hint="eastAsia" w:ascii="宋体" w:hAnsi="宋体" w:cs="宋体"/>
                <w:color w:val="000000"/>
                <w:sz w:val="24"/>
              </w:rPr>
              <w:t>支持RTMP远程直播功能</w:t>
            </w:r>
          </w:p>
          <w:p>
            <w:pPr>
              <w:widowControl/>
              <w:jc w:val="left"/>
              <w:textAlignment w:val="top"/>
              <w:rPr>
                <w:rFonts w:ascii="宋体" w:hAnsi="宋体" w:cs="宋体"/>
                <w:b/>
                <w:bCs/>
                <w:color w:val="000000"/>
                <w:sz w:val="24"/>
              </w:rPr>
            </w:pPr>
            <w:r>
              <w:rPr>
                <w:rFonts w:hint="eastAsia" w:ascii="宋体" w:hAnsi="宋体" w:cs="宋体"/>
                <w:color w:val="000000"/>
                <w:sz w:val="24"/>
              </w:rPr>
              <w:t>支持跨互联网远程多方互动，参与者可同时进行音视频互动，参会者不少于5个，且支持软终端参会者</w:t>
            </w:r>
          </w:p>
          <w:p>
            <w:pPr>
              <w:widowControl/>
              <w:jc w:val="left"/>
              <w:textAlignment w:val="top"/>
              <w:rPr>
                <w:rFonts w:ascii="宋体" w:hAnsi="宋体" w:cs="宋体"/>
                <w:color w:val="000000"/>
                <w:sz w:val="24"/>
              </w:rPr>
            </w:pPr>
            <w:r>
              <w:rPr>
                <w:rFonts w:hint="eastAsia" w:ascii="宋体" w:hAnsi="宋体" w:cs="宋体"/>
                <w:color w:val="000000"/>
                <w:sz w:val="24"/>
              </w:rPr>
              <w:t>★设备支持手机投屏功能</w:t>
            </w:r>
            <w:r>
              <w:rPr>
                <w:rFonts w:hint="eastAsia" w:ascii="宋体" w:hAnsi="宋体" w:cs="宋体"/>
                <w:b/>
                <w:bCs/>
                <w:color w:val="000000"/>
                <w:sz w:val="24"/>
              </w:rPr>
              <w:t>（提供具有CNAS标志的检测机构的检测报告复印件加盖制造商公章）</w:t>
            </w:r>
          </w:p>
        </w:tc>
        <w:tc>
          <w:tcPr>
            <w:tcW w:w="62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515"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423"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烹饪基地西餐实训室、烹饪基地中西面点实训室、烹饪基地烘焙B实训室、烹饪基地烘焙C实训室、烹饪基地烘焙D实训室各1台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153"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移动式视频管理系统</w:t>
            </w:r>
          </w:p>
        </w:tc>
        <w:tc>
          <w:tcPr>
            <w:tcW w:w="6228" w:type="dxa"/>
            <w:shd w:val="clear" w:color="auto" w:fill="auto"/>
          </w:tcPr>
          <w:p>
            <w:pPr>
              <w:widowControl/>
              <w:jc w:val="left"/>
              <w:textAlignment w:val="top"/>
              <w:rPr>
                <w:rFonts w:ascii="宋体" w:hAnsi="宋体" w:cs="宋体"/>
                <w:color w:val="000000"/>
                <w:sz w:val="24"/>
              </w:rPr>
            </w:pPr>
            <w:r>
              <w:rPr>
                <w:rFonts w:hint="eastAsia" w:ascii="宋体" w:hAnsi="宋体" w:cs="宋体"/>
                <w:color w:val="000000"/>
                <w:sz w:val="24"/>
              </w:rPr>
              <w:t>车体参数</w:t>
            </w:r>
          </w:p>
          <w:p>
            <w:pPr>
              <w:widowControl/>
              <w:jc w:val="left"/>
              <w:textAlignment w:val="top"/>
              <w:rPr>
                <w:rFonts w:ascii="宋体" w:hAnsi="宋体" w:cs="宋体"/>
                <w:b/>
                <w:bCs/>
                <w:color w:val="000000"/>
                <w:sz w:val="24"/>
              </w:rPr>
            </w:pPr>
            <w:r>
              <w:rPr>
                <w:rFonts w:hint="eastAsia" w:ascii="宋体" w:hAnsi="宋体" w:cs="宋体"/>
                <w:color w:val="000000"/>
                <w:sz w:val="24"/>
              </w:rPr>
              <w:t>1、★设备高度需大于等于1.8米；</w:t>
            </w:r>
            <w:r>
              <w:rPr>
                <w:rFonts w:hint="eastAsia" w:ascii="宋体" w:hAnsi="宋体" w:cs="宋体"/>
                <w:b/>
                <w:bCs/>
                <w:color w:val="000000"/>
                <w:sz w:val="24"/>
              </w:rPr>
              <w:t>（提供有CNAS标志的检测机构的检测报告复印件加盖制造商公章）</w:t>
            </w:r>
          </w:p>
          <w:p>
            <w:pPr>
              <w:widowControl/>
              <w:jc w:val="left"/>
              <w:textAlignment w:val="top"/>
              <w:rPr>
                <w:rFonts w:ascii="宋体" w:hAnsi="宋体" w:cs="宋体"/>
                <w:color w:val="000000"/>
                <w:sz w:val="24"/>
              </w:rPr>
            </w:pPr>
            <w:r>
              <w:rPr>
                <w:rFonts w:hint="eastAsia" w:ascii="宋体" w:hAnsi="宋体" w:cs="宋体"/>
                <w:color w:val="000000"/>
                <w:sz w:val="24"/>
              </w:rPr>
              <w:t>2、★臂展长度需不小于1.3米，吊臂的垂直角度为可上扬调节45°，下沉调节50°；</w:t>
            </w:r>
            <w:r>
              <w:rPr>
                <w:rFonts w:hint="eastAsia" w:ascii="宋体" w:hAnsi="宋体" w:cs="宋体"/>
                <w:b/>
                <w:bCs/>
                <w:color w:val="000000"/>
                <w:sz w:val="24"/>
              </w:rPr>
              <w:t>（提供具有CNAS标志的权测机构的检测报告复印件加盖制造商公章）</w:t>
            </w:r>
          </w:p>
          <w:p>
            <w:pPr>
              <w:widowControl/>
              <w:jc w:val="left"/>
              <w:textAlignment w:val="top"/>
              <w:rPr>
                <w:rFonts w:ascii="宋体" w:hAnsi="宋体" w:cs="宋体"/>
                <w:color w:val="000000"/>
                <w:sz w:val="24"/>
              </w:rPr>
            </w:pPr>
            <w:r>
              <w:rPr>
                <w:rFonts w:hint="eastAsia" w:ascii="宋体" w:hAnsi="宋体" w:cs="宋体"/>
                <w:color w:val="000000"/>
                <w:sz w:val="24"/>
              </w:rPr>
              <w:t>3、需支持立柱布线，可将主要线路隐藏在立柱内布线；</w:t>
            </w:r>
          </w:p>
          <w:p>
            <w:pPr>
              <w:widowControl/>
              <w:jc w:val="left"/>
              <w:textAlignment w:val="top"/>
              <w:rPr>
                <w:rFonts w:ascii="宋体" w:hAnsi="宋体" w:cs="宋体"/>
                <w:color w:val="000000"/>
                <w:sz w:val="24"/>
              </w:rPr>
            </w:pPr>
            <w:r>
              <w:rPr>
                <w:rFonts w:hint="eastAsia" w:ascii="宋体" w:hAnsi="宋体" w:cs="宋体"/>
                <w:color w:val="000000"/>
                <w:sz w:val="24"/>
              </w:rPr>
              <w:t>4、需具备4个带刹车脚轮，可移动推行或刹车固定；</w:t>
            </w:r>
          </w:p>
          <w:p>
            <w:pPr>
              <w:widowControl/>
              <w:jc w:val="left"/>
              <w:textAlignment w:val="top"/>
              <w:rPr>
                <w:rFonts w:ascii="宋体" w:hAnsi="宋体" w:cs="宋体"/>
                <w:color w:val="000000"/>
                <w:sz w:val="24"/>
              </w:rPr>
            </w:pPr>
            <w:r>
              <w:rPr>
                <w:rFonts w:hint="eastAsia" w:ascii="宋体" w:hAnsi="宋体" w:cs="宋体"/>
                <w:color w:val="000000"/>
                <w:sz w:val="24"/>
              </w:rPr>
              <w:t>5、需具备1个总开关，支持设备上电自启动或紧急断电；</w:t>
            </w:r>
          </w:p>
          <w:p>
            <w:pPr>
              <w:widowControl/>
              <w:jc w:val="left"/>
              <w:textAlignment w:val="top"/>
              <w:rPr>
                <w:rFonts w:ascii="宋体" w:hAnsi="宋体" w:cs="宋体"/>
                <w:color w:val="000000"/>
                <w:sz w:val="24"/>
              </w:rPr>
            </w:pPr>
            <w:r>
              <w:rPr>
                <w:rFonts w:hint="eastAsia" w:ascii="宋体" w:hAnsi="宋体" w:cs="宋体"/>
                <w:color w:val="000000"/>
                <w:sz w:val="24"/>
              </w:rPr>
              <w:t>6、需支持一体化供电，可对系统内的设备进行分配供电；</w:t>
            </w:r>
          </w:p>
          <w:p>
            <w:pPr>
              <w:widowControl/>
              <w:jc w:val="left"/>
              <w:textAlignment w:val="top"/>
              <w:rPr>
                <w:rFonts w:ascii="宋体" w:hAnsi="宋体" w:cs="宋体"/>
                <w:color w:val="000000"/>
                <w:sz w:val="24"/>
              </w:rPr>
            </w:pPr>
          </w:p>
          <w:p>
            <w:pPr>
              <w:widowControl/>
              <w:jc w:val="left"/>
              <w:textAlignment w:val="top"/>
              <w:rPr>
                <w:rFonts w:ascii="宋体" w:hAnsi="宋体" w:cs="宋体"/>
                <w:color w:val="000000"/>
                <w:sz w:val="24"/>
              </w:rPr>
            </w:pPr>
            <w:r>
              <w:rPr>
                <w:rFonts w:hint="eastAsia" w:ascii="宋体" w:hAnsi="宋体" w:cs="宋体"/>
                <w:color w:val="000000"/>
                <w:sz w:val="24"/>
              </w:rPr>
              <w:t>近景拍摄</w:t>
            </w:r>
          </w:p>
          <w:p>
            <w:pPr>
              <w:widowControl/>
              <w:jc w:val="left"/>
              <w:textAlignment w:val="top"/>
              <w:rPr>
                <w:rFonts w:ascii="宋体" w:hAnsi="宋体" w:cs="宋体"/>
                <w:b/>
                <w:bCs/>
                <w:color w:val="000000"/>
                <w:sz w:val="24"/>
              </w:rPr>
            </w:pPr>
            <w:r>
              <w:rPr>
                <w:rFonts w:hint="eastAsia" w:ascii="宋体" w:hAnsi="宋体" w:cs="宋体"/>
                <w:color w:val="000000"/>
                <w:sz w:val="24"/>
              </w:rPr>
              <w:t>1.需支持HDBaseT技术方便布线和数据传输；</w:t>
            </w:r>
          </w:p>
          <w:p>
            <w:pPr>
              <w:widowControl/>
              <w:jc w:val="left"/>
              <w:textAlignment w:val="top"/>
              <w:rPr>
                <w:rFonts w:ascii="宋体" w:hAnsi="宋体" w:cs="宋体"/>
                <w:color w:val="000000"/>
                <w:sz w:val="24"/>
              </w:rPr>
            </w:pPr>
            <w:r>
              <w:rPr>
                <w:rFonts w:hint="eastAsia" w:ascii="宋体" w:hAnsi="宋体" w:cs="宋体"/>
                <w:color w:val="000000"/>
                <w:sz w:val="24"/>
              </w:rPr>
              <w:t>2.需支持不低于20倍光学变倍，12倍数字变倍；</w:t>
            </w:r>
          </w:p>
          <w:p>
            <w:pPr>
              <w:widowControl/>
              <w:jc w:val="left"/>
              <w:textAlignment w:val="top"/>
              <w:rPr>
                <w:rFonts w:ascii="宋体" w:hAnsi="宋体" w:cs="宋体"/>
                <w:b/>
                <w:bCs/>
                <w:color w:val="000000"/>
                <w:sz w:val="24"/>
              </w:rPr>
            </w:pPr>
            <w:r>
              <w:rPr>
                <w:rFonts w:hint="eastAsia" w:ascii="宋体" w:hAnsi="宋体" w:cs="宋体"/>
                <w:color w:val="000000"/>
                <w:sz w:val="24"/>
              </w:rPr>
              <w:t>3.★需支持对HDMI输出设置不同分辨率的视频图像输出：3840×2160P/60Hz；3840×2160P/50Hz；3840×2160P/30Hz；3840×2160P/25Hz；1920×1080P/60Hz；1920×1080P/50Hz；1920×1080P/30Hz；1920×1080P/25Hzz；1920×1080i/60Hz；1920×1080i/50Hz等多种输出格式；</w:t>
            </w:r>
            <w:r>
              <w:rPr>
                <w:rFonts w:hint="eastAsia" w:ascii="宋体" w:hAnsi="宋体" w:cs="宋体"/>
                <w:b/>
                <w:bCs/>
                <w:color w:val="000000"/>
                <w:sz w:val="24"/>
              </w:rPr>
              <w:t>（提供具有CNAS标志的检测机构的检测报告复印件加盖制造商公章）</w:t>
            </w:r>
          </w:p>
          <w:p>
            <w:pPr>
              <w:widowControl/>
              <w:jc w:val="left"/>
              <w:textAlignment w:val="top"/>
              <w:rPr>
                <w:rFonts w:ascii="宋体" w:hAnsi="宋体" w:cs="宋体"/>
                <w:color w:val="000000"/>
                <w:sz w:val="24"/>
              </w:rPr>
            </w:pPr>
            <w:r>
              <w:rPr>
                <w:rFonts w:hint="eastAsia" w:ascii="宋体" w:hAnsi="宋体" w:cs="宋体"/>
                <w:color w:val="000000"/>
                <w:sz w:val="24"/>
              </w:rPr>
              <w:t>4.近景相机有效像素需不低于829万；</w:t>
            </w:r>
          </w:p>
          <w:p>
            <w:pPr>
              <w:widowControl/>
              <w:jc w:val="left"/>
              <w:textAlignment w:val="top"/>
              <w:rPr>
                <w:rFonts w:ascii="宋体" w:hAnsi="宋体" w:cs="宋体"/>
                <w:color w:val="000000"/>
                <w:sz w:val="24"/>
              </w:rPr>
            </w:pPr>
            <w:r>
              <w:rPr>
                <w:rFonts w:hint="eastAsia" w:ascii="宋体" w:hAnsi="宋体" w:cs="宋体"/>
                <w:color w:val="000000"/>
                <w:sz w:val="24"/>
              </w:rPr>
              <w:t>5.需具备HDMI输出接口，RS485、RS232接口；</w:t>
            </w:r>
          </w:p>
          <w:p>
            <w:pPr>
              <w:widowControl/>
              <w:jc w:val="left"/>
              <w:textAlignment w:val="top"/>
              <w:rPr>
                <w:rFonts w:ascii="宋体" w:hAnsi="宋体" w:cs="宋体"/>
                <w:color w:val="000000"/>
                <w:sz w:val="24"/>
              </w:rPr>
            </w:pPr>
            <w:r>
              <w:rPr>
                <w:rFonts w:hint="eastAsia" w:ascii="宋体" w:hAnsi="宋体" w:cs="宋体"/>
                <w:color w:val="000000"/>
                <w:sz w:val="24"/>
              </w:rPr>
              <w:t>6.信噪比需不低于50dB；</w:t>
            </w:r>
          </w:p>
          <w:p>
            <w:pPr>
              <w:widowControl/>
              <w:jc w:val="left"/>
              <w:textAlignment w:val="top"/>
              <w:rPr>
                <w:rFonts w:ascii="宋体" w:hAnsi="宋体" w:cs="宋体"/>
                <w:color w:val="000000"/>
                <w:sz w:val="24"/>
              </w:rPr>
            </w:pPr>
            <w:r>
              <w:rPr>
                <w:rFonts w:hint="eastAsia" w:ascii="宋体" w:hAnsi="宋体" w:cs="宋体"/>
                <w:color w:val="000000"/>
                <w:sz w:val="24"/>
              </w:rPr>
              <w:t>7.需支持电压在DC(12±25%)V范围内能正常工作；</w:t>
            </w:r>
          </w:p>
          <w:p>
            <w:pPr>
              <w:widowControl/>
              <w:jc w:val="left"/>
              <w:textAlignment w:val="top"/>
              <w:rPr>
                <w:rFonts w:ascii="宋体" w:hAnsi="宋体" w:cs="宋体"/>
                <w:color w:val="000000"/>
                <w:sz w:val="24"/>
              </w:rPr>
            </w:pPr>
            <w:r>
              <w:rPr>
                <w:rFonts w:hint="eastAsia" w:ascii="宋体" w:hAnsi="宋体" w:cs="宋体"/>
                <w:color w:val="000000"/>
                <w:sz w:val="24"/>
              </w:rPr>
              <w:t>8.需支持机身按键开关、遥控器、RS485对相机进行辅助控制；</w:t>
            </w:r>
          </w:p>
          <w:p>
            <w:pPr>
              <w:widowControl/>
              <w:jc w:val="left"/>
              <w:textAlignment w:val="top"/>
              <w:rPr>
                <w:rFonts w:ascii="宋体" w:hAnsi="宋体" w:cs="宋体"/>
                <w:b/>
                <w:bCs/>
                <w:color w:val="000000"/>
                <w:sz w:val="24"/>
              </w:rPr>
            </w:pPr>
            <w:r>
              <w:rPr>
                <w:rFonts w:hint="eastAsia" w:ascii="宋体" w:hAnsi="宋体" w:cs="宋体"/>
                <w:color w:val="000000"/>
                <w:sz w:val="24"/>
              </w:rPr>
              <w:t>9.★需支持普通模式和无影灯模式的场景模式切换；</w:t>
            </w:r>
            <w:r>
              <w:rPr>
                <w:rFonts w:hint="eastAsia" w:ascii="宋体" w:hAnsi="宋体" w:cs="宋体"/>
                <w:b/>
                <w:bCs/>
                <w:color w:val="000000"/>
                <w:sz w:val="24"/>
              </w:rPr>
              <w:t>（提供具有CNAS标志的检测机构的检测报告复印件加盖制造商公章）</w:t>
            </w:r>
          </w:p>
          <w:p>
            <w:pPr>
              <w:widowControl/>
              <w:jc w:val="left"/>
              <w:textAlignment w:val="top"/>
              <w:rPr>
                <w:rFonts w:ascii="宋体" w:hAnsi="宋体" w:cs="宋体"/>
                <w:color w:val="000000"/>
                <w:sz w:val="24"/>
              </w:rPr>
            </w:pPr>
            <w:r>
              <w:rPr>
                <w:rFonts w:hint="eastAsia" w:ascii="宋体" w:hAnsi="宋体" w:cs="宋体"/>
                <w:color w:val="000000"/>
                <w:sz w:val="24"/>
              </w:rPr>
              <w:t>10.需支持在距离物体900mm处聚焦清晰；</w:t>
            </w:r>
          </w:p>
          <w:p>
            <w:pPr>
              <w:widowControl/>
              <w:jc w:val="left"/>
              <w:textAlignment w:val="top"/>
              <w:rPr>
                <w:rFonts w:ascii="宋体" w:hAnsi="宋体" w:cs="宋体"/>
                <w:b/>
                <w:bCs/>
                <w:color w:val="000000"/>
                <w:sz w:val="24"/>
              </w:rPr>
            </w:pPr>
            <w:r>
              <w:rPr>
                <w:rFonts w:hint="eastAsia" w:ascii="宋体" w:hAnsi="宋体" w:cs="宋体"/>
                <w:color w:val="000000"/>
                <w:sz w:val="24"/>
              </w:rPr>
              <w:t>11.需支持通过机身按键和遥控器控制画面冻结功能；</w:t>
            </w:r>
          </w:p>
          <w:p>
            <w:pPr>
              <w:widowControl/>
              <w:jc w:val="left"/>
              <w:textAlignment w:val="top"/>
            </w:pPr>
            <w:r>
              <w:rPr>
                <w:rFonts w:hint="eastAsia" w:ascii="宋体" w:hAnsi="宋体" w:cs="宋体"/>
                <w:color w:val="000000"/>
                <w:sz w:val="24"/>
              </w:rPr>
              <w:t>12.★为满足示教细节特写成像高清高保真还原，相机采用术野摄像机，需符合医用电气设备安全标准(IEC60601-1)和医用电气电磁兼容标准(IEC60601-1-2)；</w:t>
            </w:r>
            <w:r>
              <w:rPr>
                <w:rFonts w:hint="eastAsia" w:ascii="宋体" w:hAnsi="宋体" w:cs="宋体"/>
                <w:b/>
                <w:bCs/>
                <w:color w:val="000000"/>
                <w:sz w:val="24"/>
              </w:rPr>
              <w:t>（提供证书复印件加盖制造商公章）</w:t>
            </w:r>
          </w:p>
          <w:p>
            <w:pPr>
              <w:widowControl/>
              <w:spacing w:beforeLines="50"/>
              <w:jc w:val="left"/>
              <w:textAlignment w:val="top"/>
              <w:rPr>
                <w:rFonts w:ascii="宋体" w:hAnsi="宋体" w:cs="宋体"/>
                <w:color w:val="000000"/>
                <w:sz w:val="24"/>
              </w:rPr>
            </w:pPr>
          </w:p>
          <w:p>
            <w:pPr>
              <w:widowControl/>
              <w:spacing w:beforeLines="50" w:after="0"/>
              <w:ind w:left="0" w:firstLine="0"/>
              <w:contextualSpacing w:val="0"/>
              <w:jc w:val="left"/>
              <w:textAlignment w:val="top"/>
              <w:rPr>
                <w:rFonts w:ascii="宋体" w:hAnsi="宋体" w:eastAsia="楷体" w:cs="宋体"/>
                <w:bCs/>
                <w:color w:val="000000"/>
                <w:spacing w:val="14"/>
                <w:sz w:val="24"/>
                <w:lang w:val="zh-CN"/>
              </w:rPr>
            </w:pPr>
            <w:r>
              <w:rPr>
                <w:rFonts w:hint="eastAsia" w:ascii="宋体" w:hAnsi="宋体" w:cs="宋体"/>
                <w:color w:val="000000"/>
                <w:sz w:val="24"/>
              </w:rPr>
              <w:t>全景拍摄</w:t>
            </w:r>
          </w:p>
          <w:p>
            <w:pPr>
              <w:widowControl/>
              <w:jc w:val="left"/>
              <w:textAlignment w:val="top"/>
              <w:rPr>
                <w:rFonts w:ascii="宋体" w:hAnsi="宋体" w:cs="宋体"/>
                <w:color w:val="000000"/>
                <w:sz w:val="24"/>
              </w:rPr>
            </w:pPr>
            <w:r>
              <w:rPr>
                <w:rFonts w:hint="eastAsia" w:ascii="宋体" w:hAnsi="宋体" w:cs="宋体"/>
                <w:color w:val="000000"/>
                <w:sz w:val="24"/>
              </w:rPr>
              <w:t>1、全景摄像机有效像素需不低于207万；</w:t>
            </w:r>
          </w:p>
          <w:p>
            <w:pPr>
              <w:widowControl/>
              <w:jc w:val="left"/>
              <w:textAlignment w:val="top"/>
              <w:rPr>
                <w:rFonts w:ascii="宋体" w:hAnsi="宋体" w:cs="宋体"/>
                <w:b/>
                <w:bCs/>
                <w:color w:val="000000"/>
                <w:sz w:val="24"/>
              </w:rPr>
            </w:pPr>
            <w:r>
              <w:rPr>
                <w:rFonts w:hint="eastAsia" w:ascii="宋体" w:hAnsi="宋体" w:cs="宋体"/>
                <w:color w:val="000000"/>
                <w:sz w:val="24"/>
              </w:rPr>
              <w:t>2、需支持不低于23倍光学变倍，16倍数字变倍</w:t>
            </w:r>
            <w:r>
              <w:rPr>
                <w:rFonts w:hint="eastAsia" w:ascii="宋体" w:hAnsi="宋体" w:cs="宋体"/>
                <w:b/>
                <w:bCs/>
                <w:color w:val="000000"/>
                <w:sz w:val="24"/>
              </w:rPr>
              <w:t>；</w:t>
            </w:r>
          </w:p>
          <w:p>
            <w:pPr>
              <w:widowControl/>
              <w:jc w:val="left"/>
              <w:textAlignment w:val="top"/>
              <w:rPr>
                <w:rFonts w:ascii="宋体" w:hAnsi="宋体" w:cs="宋体"/>
                <w:color w:val="000000"/>
                <w:sz w:val="24"/>
              </w:rPr>
            </w:pPr>
            <w:r>
              <w:rPr>
                <w:rFonts w:hint="eastAsia" w:ascii="宋体" w:hAnsi="宋体" w:cs="宋体"/>
                <w:color w:val="000000"/>
                <w:sz w:val="24"/>
              </w:rPr>
              <w:t>3、亮度分解力需不低于1000电视线；</w:t>
            </w:r>
          </w:p>
          <w:p>
            <w:pPr>
              <w:widowControl/>
              <w:jc w:val="left"/>
              <w:textAlignment w:val="top"/>
              <w:rPr>
                <w:rFonts w:ascii="宋体" w:hAnsi="宋体" w:cs="宋体"/>
                <w:b/>
                <w:bCs/>
                <w:color w:val="000000"/>
                <w:sz w:val="24"/>
              </w:rPr>
            </w:pPr>
            <w:r>
              <w:rPr>
                <w:rFonts w:hint="eastAsia" w:ascii="宋体" w:hAnsi="宋体" w:cs="宋体"/>
                <w:color w:val="000000"/>
                <w:sz w:val="24"/>
              </w:rPr>
              <w:t>4、设备接口需具备音频输入、输出，报警输入、输出，HDMI、SDI视频输出接口、RS485接口、RS232接口、10M/100M自适应RJ45网络接口；</w:t>
            </w:r>
          </w:p>
          <w:p>
            <w:pPr>
              <w:widowControl/>
              <w:jc w:val="left"/>
              <w:textAlignment w:val="top"/>
              <w:rPr>
                <w:rFonts w:ascii="宋体" w:hAnsi="宋体" w:cs="宋体"/>
                <w:color w:val="000000"/>
                <w:sz w:val="24"/>
              </w:rPr>
            </w:pPr>
            <w:r>
              <w:rPr>
                <w:rFonts w:hint="eastAsia" w:ascii="宋体" w:hAnsi="宋体" w:cs="宋体"/>
                <w:color w:val="000000"/>
                <w:sz w:val="24"/>
              </w:rPr>
              <w:t>5、图像输出支持1920×1080P/60fps、1920×1080P/30fps、1920×1080P/50fps、1920×1080P/25fps、1920×1080I/60fps、1920×1080I/50fps、1280×720P/60fps、1280*720P/50fps等多种输出格式；</w:t>
            </w:r>
          </w:p>
          <w:p>
            <w:pPr>
              <w:widowControl/>
              <w:jc w:val="left"/>
              <w:textAlignment w:val="top"/>
              <w:rPr>
                <w:rFonts w:ascii="宋体" w:hAnsi="宋体" w:cs="宋体"/>
                <w:color w:val="000000"/>
                <w:sz w:val="24"/>
              </w:rPr>
            </w:pPr>
            <w:r>
              <w:rPr>
                <w:rFonts w:hint="eastAsia" w:ascii="宋体" w:hAnsi="宋体" w:cs="宋体"/>
                <w:color w:val="000000"/>
                <w:sz w:val="24"/>
              </w:rPr>
              <w:t>6、全景摄像机云台转动范围：垂直旋转不小于-30°～90°；水平旋转不小于0°~350°；</w:t>
            </w:r>
          </w:p>
          <w:p>
            <w:pPr>
              <w:widowControl/>
              <w:jc w:val="left"/>
              <w:textAlignment w:val="top"/>
              <w:rPr>
                <w:rFonts w:ascii="宋体" w:hAnsi="宋体" w:cs="宋体"/>
                <w:color w:val="000000"/>
                <w:sz w:val="24"/>
              </w:rPr>
            </w:pPr>
            <w:r>
              <w:rPr>
                <w:rFonts w:hint="eastAsia" w:ascii="宋体" w:hAnsi="宋体" w:cs="宋体"/>
                <w:color w:val="000000"/>
                <w:sz w:val="24"/>
              </w:rPr>
              <w:t>7、需支持在额定供电电压的±25%的范围内正常工作；</w:t>
            </w:r>
          </w:p>
          <w:p>
            <w:pPr>
              <w:widowControl/>
              <w:jc w:val="left"/>
              <w:textAlignment w:val="top"/>
              <w:rPr>
                <w:rFonts w:ascii="宋体" w:hAnsi="宋体" w:cs="宋体"/>
                <w:color w:val="000000"/>
                <w:sz w:val="24"/>
              </w:rPr>
            </w:pPr>
            <w:r>
              <w:rPr>
                <w:rFonts w:hint="eastAsia" w:ascii="宋体" w:hAnsi="宋体" w:cs="宋体"/>
                <w:color w:val="000000"/>
                <w:sz w:val="24"/>
              </w:rPr>
              <w:t>8、需支持多码流输出，包含主码流、子码流和第三码流，每路码流可独立配置分辨率及帧率；</w:t>
            </w:r>
          </w:p>
          <w:p>
            <w:pPr>
              <w:widowControl/>
              <w:jc w:val="left"/>
              <w:textAlignment w:val="top"/>
              <w:rPr>
                <w:rFonts w:ascii="宋体" w:hAnsi="宋体" w:cs="宋体"/>
                <w:color w:val="000000"/>
                <w:sz w:val="24"/>
              </w:rPr>
            </w:pPr>
            <w:r>
              <w:rPr>
                <w:rFonts w:hint="eastAsia" w:ascii="宋体" w:hAnsi="宋体" w:cs="宋体"/>
                <w:color w:val="000000"/>
                <w:sz w:val="24"/>
              </w:rPr>
              <w:t>9、需支持H.265、H.264、MJPEG视频编码格式；</w:t>
            </w:r>
          </w:p>
          <w:p>
            <w:pPr>
              <w:widowControl/>
              <w:jc w:val="left"/>
              <w:textAlignment w:val="top"/>
              <w:rPr>
                <w:rFonts w:ascii="宋体" w:hAnsi="宋体" w:cs="宋体"/>
                <w:color w:val="000000"/>
                <w:sz w:val="24"/>
              </w:rPr>
            </w:pPr>
            <w:r>
              <w:rPr>
                <w:rFonts w:hint="eastAsia" w:ascii="宋体" w:hAnsi="宋体" w:cs="宋体"/>
                <w:color w:val="000000"/>
                <w:sz w:val="24"/>
              </w:rPr>
              <w:t>10、需支持MP2L2、G.711ulaw、G.711alaw、G.726、G.722.1、AAC及PCM音频编码格式；</w:t>
            </w:r>
          </w:p>
          <w:p>
            <w:pPr>
              <w:widowControl/>
              <w:jc w:val="left"/>
              <w:textAlignment w:val="top"/>
              <w:rPr>
                <w:rFonts w:ascii="宋体" w:hAnsi="宋体" w:cs="宋体"/>
                <w:color w:val="000000"/>
                <w:sz w:val="24"/>
              </w:rPr>
            </w:pPr>
            <w:r>
              <w:rPr>
                <w:rFonts w:hint="eastAsia" w:ascii="宋体" w:hAnsi="宋体" w:cs="宋体"/>
                <w:color w:val="000000"/>
                <w:sz w:val="24"/>
              </w:rPr>
              <w:t>11、输出的图像中需支持叠加文字和符号信息；</w:t>
            </w:r>
          </w:p>
          <w:p>
            <w:pPr>
              <w:widowControl/>
              <w:jc w:val="left"/>
              <w:textAlignment w:val="top"/>
              <w:rPr>
                <w:rFonts w:ascii="宋体" w:hAnsi="宋体" w:cs="宋体"/>
                <w:color w:val="000000"/>
                <w:sz w:val="24"/>
              </w:rPr>
            </w:pPr>
            <w:r>
              <w:rPr>
                <w:rFonts w:hint="eastAsia" w:ascii="宋体" w:hAnsi="宋体" w:cs="宋体"/>
                <w:color w:val="000000"/>
                <w:sz w:val="24"/>
              </w:rPr>
              <w:t>12、需至少支持24块多边形区域隐私遮蔽，遮盖区域支持多种颜色可选；</w:t>
            </w:r>
          </w:p>
          <w:p>
            <w:pPr>
              <w:widowControl/>
              <w:jc w:val="left"/>
              <w:textAlignment w:val="top"/>
              <w:rPr>
                <w:rFonts w:ascii="宋体" w:hAnsi="宋体" w:cs="宋体"/>
                <w:color w:val="000000"/>
                <w:sz w:val="24"/>
              </w:rPr>
            </w:pPr>
            <w:r>
              <w:rPr>
                <w:rFonts w:hint="eastAsia" w:ascii="宋体" w:hAnsi="宋体" w:cs="宋体"/>
                <w:color w:val="000000"/>
                <w:sz w:val="24"/>
              </w:rPr>
              <w:t>13、需具备背光补偿、宽动态、强光抑制功能；</w:t>
            </w:r>
          </w:p>
          <w:p>
            <w:pPr>
              <w:widowControl/>
              <w:jc w:val="left"/>
              <w:textAlignment w:val="top"/>
              <w:rPr>
                <w:rFonts w:ascii="宋体" w:hAnsi="宋体" w:cs="宋体"/>
                <w:color w:val="000000"/>
                <w:sz w:val="24"/>
              </w:rPr>
            </w:pPr>
            <w:r>
              <w:rPr>
                <w:rFonts w:hint="eastAsia" w:ascii="宋体" w:hAnsi="宋体" w:cs="宋体"/>
                <w:color w:val="000000"/>
                <w:sz w:val="24"/>
              </w:rPr>
              <w:t>14、应具备自动镜像的功能；</w:t>
            </w:r>
          </w:p>
          <w:p>
            <w:pPr>
              <w:widowControl/>
              <w:jc w:val="left"/>
              <w:textAlignment w:val="top"/>
              <w:rPr>
                <w:rFonts w:ascii="宋体" w:hAnsi="宋体" w:cs="宋体"/>
                <w:color w:val="000000"/>
                <w:sz w:val="24"/>
              </w:rPr>
            </w:pPr>
            <w:r>
              <w:rPr>
                <w:rFonts w:hint="eastAsia" w:ascii="宋体" w:hAnsi="宋体" w:cs="宋体"/>
                <w:color w:val="000000"/>
                <w:sz w:val="24"/>
              </w:rPr>
              <w:t>15、应具备至少300个预置点，支持存预置位和调预置位功能；</w:t>
            </w:r>
          </w:p>
          <w:p>
            <w:pPr>
              <w:widowControl/>
              <w:jc w:val="left"/>
              <w:textAlignment w:val="top"/>
              <w:rPr>
                <w:rFonts w:ascii="宋体" w:hAnsi="宋体" w:cs="宋体"/>
                <w:b/>
                <w:bCs/>
                <w:color w:val="000000"/>
                <w:sz w:val="24"/>
              </w:rPr>
            </w:pPr>
            <w:r>
              <w:rPr>
                <w:rFonts w:hint="eastAsia" w:ascii="宋体" w:hAnsi="宋体" w:cs="宋体"/>
                <w:color w:val="000000"/>
                <w:sz w:val="24"/>
              </w:rPr>
              <w:t>16、需按照所设置的预置位完成至少8条巡航路径,每条巡航至少可设置32个预置点；</w:t>
            </w:r>
          </w:p>
          <w:p>
            <w:pPr>
              <w:widowControl/>
              <w:jc w:val="left"/>
              <w:textAlignment w:val="top"/>
              <w:rPr>
                <w:rFonts w:ascii="宋体" w:hAnsi="宋体" w:cs="宋体"/>
                <w:color w:val="000000"/>
                <w:sz w:val="24"/>
              </w:rPr>
            </w:pPr>
            <w:r>
              <w:rPr>
                <w:rFonts w:hint="eastAsia" w:ascii="宋体" w:hAnsi="宋体" w:cs="宋体"/>
                <w:color w:val="000000"/>
                <w:sz w:val="24"/>
              </w:rPr>
              <w:t>17、需支持遥控器控制。</w:t>
            </w:r>
          </w:p>
          <w:p>
            <w:pPr>
              <w:widowControl/>
              <w:jc w:val="left"/>
              <w:textAlignment w:val="top"/>
              <w:rPr>
                <w:rFonts w:ascii="宋体" w:hAnsi="宋体" w:cs="宋体"/>
                <w:color w:val="000000"/>
                <w:sz w:val="24"/>
              </w:rPr>
            </w:pPr>
          </w:p>
          <w:p>
            <w:pPr>
              <w:widowControl/>
              <w:jc w:val="left"/>
              <w:textAlignment w:val="top"/>
              <w:rPr>
                <w:rFonts w:ascii="宋体" w:hAnsi="宋体" w:cs="宋体"/>
                <w:color w:val="000000"/>
                <w:sz w:val="24"/>
              </w:rPr>
            </w:pPr>
            <w:r>
              <w:rPr>
                <w:rFonts w:hint="eastAsia" w:ascii="宋体" w:hAnsi="宋体" w:cs="宋体"/>
                <w:color w:val="000000"/>
                <w:sz w:val="24"/>
              </w:rPr>
              <w:t>录播终端</w:t>
            </w:r>
          </w:p>
          <w:p>
            <w:pPr>
              <w:widowControl/>
              <w:jc w:val="left"/>
              <w:textAlignment w:val="top"/>
              <w:rPr>
                <w:rFonts w:ascii="宋体" w:hAnsi="宋体" w:cs="宋体"/>
                <w:color w:val="000000"/>
                <w:sz w:val="24"/>
              </w:rPr>
            </w:pPr>
            <w:r>
              <w:rPr>
                <w:rFonts w:hint="eastAsia" w:ascii="宋体" w:hAnsi="宋体" w:cs="宋体"/>
                <w:color w:val="000000"/>
                <w:sz w:val="24"/>
              </w:rPr>
              <w:t>1、★设备应具备大于4路本地视频输入：包含1路HDMI2.0及其同源的HDBaset（RJ45接口）、1路HDMI2.0、1路3G SDI接口、1路USB；</w:t>
            </w:r>
            <w:r>
              <w:rPr>
                <w:rFonts w:hint="eastAsia" w:ascii="宋体" w:hAnsi="宋体" w:cs="宋体"/>
                <w:b/>
                <w:bCs/>
                <w:color w:val="000000"/>
                <w:sz w:val="24"/>
              </w:rPr>
              <w:t>（提供具有CNAS标志的检测机构的检测报告复印件加盖制造商公章）</w:t>
            </w:r>
          </w:p>
          <w:p>
            <w:pPr>
              <w:widowControl/>
              <w:jc w:val="left"/>
              <w:textAlignment w:val="top"/>
              <w:rPr>
                <w:rFonts w:ascii="宋体" w:hAnsi="宋体" w:cs="宋体"/>
                <w:color w:val="000000"/>
                <w:sz w:val="24"/>
              </w:rPr>
            </w:pPr>
            <w:r>
              <w:rPr>
                <w:rFonts w:hint="eastAsia" w:ascii="宋体" w:hAnsi="宋体" w:cs="宋体"/>
                <w:color w:val="000000"/>
                <w:sz w:val="24"/>
              </w:rPr>
              <w:t>2、设备应具备大于1路HDMI2.0本地视频输出接口；</w:t>
            </w:r>
          </w:p>
          <w:p>
            <w:pPr>
              <w:widowControl/>
              <w:jc w:val="left"/>
              <w:textAlignment w:val="top"/>
              <w:rPr>
                <w:rFonts w:ascii="宋体" w:hAnsi="宋体" w:cs="宋体"/>
                <w:color w:val="000000"/>
                <w:sz w:val="24"/>
              </w:rPr>
            </w:pPr>
            <w:r>
              <w:rPr>
                <w:rFonts w:hint="eastAsia" w:ascii="宋体" w:hAnsi="宋体" w:cs="宋体"/>
                <w:color w:val="000000"/>
                <w:sz w:val="24"/>
              </w:rPr>
              <w:t>3、设备应具备音频输输出接口；</w:t>
            </w:r>
          </w:p>
          <w:p>
            <w:pPr>
              <w:widowControl/>
              <w:jc w:val="left"/>
              <w:textAlignment w:val="top"/>
              <w:rPr>
                <w:rFonts w:ascii="宋体" w:hAnsi="宋体" w:cs="宋体"/>
                <w:color w:val="000000"/>
                <w:sz w:val="24"/>
              </w:rPr>
            </w:pPr>
            <w:r>
              <w:rPr>
                <w:rFonts w:hint="eastAsia" w:ascii="宋体" w:hAnsi="宋体" w:cs="宋体"/>
                <w:color w:val="000000"/>
                <w:sz w:val="24"/>
              </w:rPr>
              <w:t>4、设备应具备大于1个RJ45 10M/100M/1000M自适应以太网口；</w:t>
            </w:r>
          </w:p>
          <w:p>
            <w:pPr>
              <w:widowControl/>
              <w:jc w:val="left"/>
              <w:textAlignment w:val="top"/>
              <w:rPr>
                <w:rFonts w:ascii="宋体" w:hAnsi="宋体" w:cs="宋体"/>
                <w:color w:val="000000"/>
                <w:sz w:val="24"/>
              </w:rPr>
            </w:pPr>
            <w:r>
              <w:rPr>
                <w:rFonts w:hint="eastAsia" w:ascii="宋体" w:hAnsi="宋体" w:cs="宋体"/>
                <w:color w:val="000000"/>
                <w:sz w:val="24"/>
              </w:rPr>
              <w:t>5、设备应具备1个USB3.0前置，3个USB2.0后置接口；</w:t>
            </w:r>
          </w:p>
          <w:p>
            <w:pPr>
              <w:widowControl/>
              <w:jc w:val="left"/>
              <w:textAlignment w:val="top"/>
              <w:rPr>
                <w:rFonts w:ascii="宋体" w:hAnsi="宋体" w:cs="宋体"/>
                <w:color w:val="000000"/>
                <w:sz w:val="24"/>
              </w:rPr>
            </w:pPr>
            <w:r>
              <w:rPr>
                <w:rFonts w:hint="eastAsia" w:ascii="宋体" w:hAnsi="宋体" w:cs="宋体"/>
                <w:color w:val="000000"/>
                <w:sz w:val="24"/>
              </w:rPr>
              <w:t>6、设备应具备1*RS-232串行接口和1*RS-485接口，接线端子；</w:t>
            </w:r>
          </w:p>
          <w:p>
            <w:pPr>
              <w:widowControl/>
              <w:jc w:val="left"/>
              <w:textAlignment w:val="top"/>
              <w:rPr>
                <w:rFonts w:ascii="宋体" w:hAnsi="宋体" w:cs="宋体"/>
                <w:color w:val="000000"/>
                <w:sz w:val="24"/>
              </w:rPr>
            </w:pPr>
            <w:r>
              <w:rPr>
                <w:rFonts w:hint="eastAsia" w:ascii="宋体" w:hAnsi="宋体" w:cs="宋体"/>
                <w:color w:val="000000"/>
                <w:sz w:val="24"/>
              </w:rPr>
              <w:t>7、设备应具备7个按键，从左到右分别为录像、抓图、NEXT、+、菜单、-、电源；</w:t>
            </w:r>
          </w:p>
          <w:p>
            <w:pPr>
              <w:widowControl/>
              <w:jc w:val="left"/>
              <w:textAlignment w:val="top"/>
              <w:rPr>
                <w:rFonts w:ascii="宋体" w:hAnsi="宋体" w:cs="宋体"/>
                <w:b/>
                <w:bCs/>
                <w:color w:val="000000"/>
                <w:sz w:val="24"/>
              </w:rPr>
            </w:pPr>
            <w:r>
              <w:rPr>
                <w:rFonts w:hint="eastAsia" w:ascii="宋体" w:hAnsi="宋体" w:cs="宋体"/>
                <w:color w:val="000000"/>
                <w:sz w:val="24"/>
              </w:rPr>
              <w:t>8、★录播终端应具备27寸4k高清触摸显示屏</w:t>
            </w:r>
            <w:r>
              <w:rPr>
                <w:rFonts w:hint="eastAsia" w:ascii="宋体" w:hAnsi="宋体" w:cs="宋体"/>
                <w:b/>
                <w:bCs/>
                <w:color w:val="000000"/>
                <w:sz w:val="24"/>
              </w:rPr>
              <w:t>（提供具有CNAS标志的检测机构的检测报告复印件加盖制造商公章）</w:t>
            </w:r>
          </w:p>
          <w:p>
            <w:pPr>
              <w:widowControl/>
              <w:jc w:val="left"/>
              <w:textAlignment w:val="top"/>
              <w:rPr>
                <w:rFonts w:ascii="宋体" w:hAnsi="宋体" w:cs="宋体"/>
                <w:color w:val="000000"/>
                <w:sz w:val="24"/>
              </w:rPr>
            </w:pPr>
            <w:r>
              <w:rPr>
                <w:rFonts w:hint="eastAsia" w:ascii="宋体" w:hAnsi="宋体" w:cs="宋体"/>
                <w:color w:val="000000"/>
                <w:sz w:val="24"/>
              </w:rPr>
              <w:t>9、设备可通过网线给相机供电；</w:t>
            </w:r>
          </w:p>
          <w:p>
            <w:pPr>
              <w:widowControl/>
              <w:jc w:val="left"/>
              <w:textAlignment w:val="top"/>
              <w:rPr>
                <w:rFonts w:ascii="宋体" w:hAnsi="宋体" w:cs="宋体"/>
                <w:color w:val="000000"/>
                <w:sz w:val="24"/>
              </w:rPr>
            </w:pPr>
            <w:r>
              <w:rPr>
                <w:rFonts w:hint="eastAsia" w:ascii="宋体" w:hAnsi="宋体" w:cs="宋体"/>
                <w:color w:val="000000"/>
                <w:sz w:val="24"/>
              </w:rPr>
              <w:t>10、设备支持多画面融合并进行存储；</w:t>
            </w:r>
          </w:p>
          <w:p>
            <w:pPr>
              <w:widowControl/>
              <w:jc w:val="left"/>
              <w:textAlignment w:val="top"/>
              <w:rPr>
                <w:rFonts w:ascii="宋体" w:hAnsi="宋体" w:cs="宋体"/>
                <w:b/>
                <w:bCs/>
                <w:color w:val="000000"/>
                <w:sz w:val="24"/>
              </w:rPr>
            </w:pPr>
            <w:r>
              <w:rPr>
                <w:rFonts w:hint="eastAsia" w:ascii="宋体" w:hAnsi="宋体" w:cs="宋体"/>
                <w:color w:val="000000"/>
                <w:sz w:val="24"/>
              </w:rPr>
              <w:t>11、设备在画中画融合模式下，可以支持小画面的自由拖动和缩放控制；</w:t>
            </w:r>
          </w:p>
          <w:p>
            <w:pPr>
              <w:widowControl/>
              <w:jc w:val="left"/>
              <w:textAlignment w:val="top"/>
              <w:rPr>
                <w:rFonts w:ascii="宋体" w:hAnsi="宋体" w:cs="宋体"/>
                <w:color w:val="000000"/>
                <w:sz w:val="24"/>
              </w:rPr>
            </w:pPr>
            <w:r>
              <w:rPr>
                <w:rFonts w:hint="eastAsia" w:ascii="宋体" w:hAnsi="宋体" w:cs="宋体"/>
                <w:color w:val="000000"/>
                <w:sz w:val="24"/>
              </w:rPr>
              <w:t>12、相机通过本地视频接入并进行融合画面显示，画面延时小于250ms；</w:t>
            </w:r>
          </w:p>
          <w:p>
            <w:pPr>
              <w:widowControl/>
              <w:jc w:val="left"/>
              <w:textAlignment w:val="top"/>
              <w:rPr>
                <w:rFonts w:ascii="宋体" w:hAnsi="宋体" w:cs="宋体"/>
                <w:color w:val="000000"/>
                <w:sz w:val="24"/>
              </w:rPr>
            </w:pPr>
            <w:r>
              <w:rPr>
                <w:rFonts w:hint="eastAsia" w:ascii="宋体" w:hAnsi="宋体" w:cs="宋体"/>
                <w:color w:val="000000"/>
                <w:sz w:val="24"/>
              </w:rPr>
              <w:t>13、支持H.264、H.265编码格式，编码分辨率CIF~4K可设，码率32Kbps~16Mbps可设；</w:t>
            </w:r>
          </w:p>
          <w:p>
            <w:pPr>
              <w:widowControl/>
              <w:jc w:val="left"/>
              <w:textAlignment w:val="top"/>
              <w:rPr>
                <w:rFonts w:ascii="宋体" w:hAnsi="宋体" w:cs="宋体"/>
                <w:color w:val="000000"/>
                <w:sz w:val="24"/>
              </w:rPr>
            </w:pPr>
            <w:r>
              <w:rPr>
                <w:rFonts w:hint="eastAsia" w:ascii="宋体" w:hAnsi="宋体" w:cs="宋体"/>
                <w:color w:val="000000"/>
                <w:sz w:val="24"/>
              </w:rPr>
              <w:t>14、支持不小于4路的IPC通道，支持IPC预览和录像存储；</w:t>
            </w:r>
          </w:p>
          <w:p>
            <w:pPr>
              <w:widowControl/>
              <w:jc w:val="left"/>
              <w:textAlignment w:val="top"/>
              <w:rPr>
                <w:rFonts w:ascii="宋体" w:hAnsi="宋体" w:cs="宋体"/>
                <w:color w:val="000000"/>
                <w:sz w:val="24"/>
              </w:rPr>
            </w:pPr>
            <w:r>
              <w:rPr>
                <w:rFonts w:hint="eastAsia" w:ascii="宋体" w:hAnsi="宋体" w:cs="宋体"/>
                <w:color w:val="000000"/>
                <w:sz w:val="24"/>
              </w:rPr>
              <w:t>15、支持最大4K30的视频接入和显示；</w:t>
            </w:r>
          </w:p>
          <w:p>
            <w:pPr>
              <w:widowControl/>
              <w:jc w:val="left"/>
              <w:textAlignment w:val="top"/>
              <w:rPr>
                <w:rFonts w:ascii="宋体" w:hAnsi="宋体" w:cs="宋体"/>
                <w:color w:val="000000"/>
                <w:sz w:val="24"/>
              </w:rPr>
            </w:pPr>
            <w:r>
              <w:rPr>
                <w:rFonts w:hint="eastAsia" w:ascii="宋体" w:hAnsi="宋体" w:cs="宋体"/>
                <w:color w:val="000000"/>
                <w:sz w:val="24"/>
              </w:rPr>
              <w:t>16、设备应具备1个硬盘，支持1TB容量，可支持手动录像和手动截图；</w:t>
            </w:r>
          </w:p>
          <w:p>
            <w:pPr>
              <w:widowControl/>
              <w:jc w:val="left"/>
              <w:textAlignment w:val="top"/>
              <w:rPr>
                <w:rFonts w:ascii="宋体" w:hAnsi="宋体" w:cs="宋体"/>
                <w:color w:val="000000"/>
                <w:sz w:val="24"/>
              </w:rPr>
            </w:pPr>
            <w:r>
              <w:rPr>
                <w:rFonts w:hint="eastAsia" w:ascii="宋体" w:hAnsi="宋体" w:cs="宋体"/>
                <w:color w:val="000000"/>
                <w:sz w:val="24"/>
              </w:rPr>
              <w:t>17、支持本地回放；</w:t>
            </w:r>
          </w:p>
          <w:p>
            <w:pPr>
              <w:widowControl/>
              <w:jc w:val="left"/>
              <w:textAlignment w:val="top"/>
              <w:rPr>
                <w:rFonts w:ascii="宋体" w:hAnsi="宋体" w:cs="宋体"/>
                <w:color w:val="000000"/>
                <w:sz w:val="24"/>
              </w:rPr>
            </w:pPr>
            <w:r>
              <w:rPr>
                <w:rFonts w:hint="eastAsia" w:ascii="宋体" w:hAnsi="宋体" w:cs="宋体"/>
                <w:color w:val="000000"/>
                <w:sz w:val="24"/>
              </w:rPr>
              <w:t>18、支持USB外部存储介质录像导出功能（最大可支持2TB移动硬盘）；</w:t>
            </w:r>
          </w:p>
          <w:p>
            <w:pPr>
              <w:widowControl/>
              <w:jc w:val="left"/>
              <w:textAlignment w:val="top"/>
              <w:rPr>
                <w:rFonts w:ascii="宋体" w:hAnsi="宋体" w:cs="宋体"/>
                <w:color w:val="000000"/>
                <w:sz w:val="24"/>
              </w:rPr>
            </w:pPr>
            <w:r>
              <w:rPr>
                <w:rFonts w:hint="eastAsia" w:ascii="宋体" w:hAnsi="宋体" w:cs="宋体"/>
                <w:color w:val="000000"/>
                <w:sz w:val="24"/>
              </w:rPr>
              <w:t>19、支持将录像和图片直接保存到USB接口存储外设；</w:t>
            </w:r>
          </w:p>
          <w:p>
            <w:pPr>
              <w:widowControl/>
              <w:jc w:val="left"/>
              <w:textAlignment w:val="top"/>
              <w:rPr>
                <w:rFonts w:ascii="宋体" w:hAnsi="宋体" w:cs="宋体"/>
                <w:color w:val="000000"/>
                <w:sz w:val="24"/>
              </w:rPr>
            </w:pPr>
            <w:r>
              <w:rPr>
                <w:rFonts w:hint="eastAsia" w:ascii="宋体" w:hAnsi="宋体" w:cs="宋体"/>
                <w:color w:val="000000"/>
                <w:sz w:val="24"/>
              </w:rPr>
              <w:t>20、支持图像中叠加文字、数字等信息；</w:t>
            </w:r>
          </w:p>
          <w:p>
            <w:pPr>
              <w:widowControl/>
              <w:jc w:val="left"/>
              <w:textAlignment w:val="top"/>
              <w:rPr>
                <w:rFonts w:ascii="宋体" w:hAnsi="宋体" w:cs="宋体"/>
                <w:color w:val="000000"/>
                <w:sz w:val="24"/>
              </w:rPr>
            </w:pPr>
            <w:r>
              <w:rPr>
                <w:rFonts w:hint="eastAsia" w:ascii="宋体" w:hAnsi="宋体" w:cs="宋体"/>
                <w:color w:val="000000"/>
                <w:sz w:val="24"/>
              </w:rPr>
              <w:t>21、支持局域网内设备间一对一音频互动功能；</w:t>
            </w:r>
          </w:p>
          <w:p>
            <w:pPr>
              <w:widowControl/>
              <w:jc w:val="left"/>
              <w:textAlignment w:val="top"/>
              <w:rPr>
                <w:rFonts w:ascii="宋体" w:hAnsi="宋体" w:cs="宋体"/>
                <w:color w:val="000000"/>
                <w:sz w:val="24"/>
              </w:rPr>
            </w:pPr>
            <w:r>
              <w:rPr>
                <w:rFonts w:hint="eastAsia" w:ascii="宋体" w:hAnsi="宋体" w:cs="宋体"/>
                <w:color w:val="000000"/>
                <w:sz w:val="24"/>
              </w:rPr>
              <w:t>22、设备需支持对音频输入输出进行混音配置；</w:t>
            </w:r>
          </w:p>
          <w:p>
            <w:pPr>
              <w:widowControl/>
              <w:jc w:val="left"/>
              <w:textAlignment w:val="top"/>
              <w:rPr>
                <w:rFonts w:ascii="宋体" w:hAnsi="宋体" w:cs="宋体"/>
                <w:color w:val="000000"/>
                <w:sz w:val="24"/>
              </w:rPr>
            </w:pPr>
            <w:r>
              <w:rPr>
                <w:rFonts w:hint="eastAsia" w:ascii="宋体" w:hAnsi="宋体" w:cs="宋体"/>
                <w:color w:val="000000"/>
                <w:sz w:val="24"/>
              </w:rPr>
              <w:t>23、设备应支持回音消除、智能降噪、自动调音等音频处理功能；</w:t>
            </w:r>
          </w:p>
          <w:p>
            <w:pPr>
              <w:widowControl/>
              <w:jc w:val="left"/>
              <w:textAlignment w:val="top"/>
              <w:rPr>
                <w:rFonts w:ascii="宋体" w:hAnsi="宋体" w:cs="宋体"/>
                <w:color w:val="000000"/>
                <w:sz w:val="24"/>
              </w:rPr>
            </w:pPr>
            <w:r>
              <w:rPr>
                <w:rFonts w:hint="eastAsia" w:ascii="宋体" w:hAnsi="宋体" w:cs="宋体"/>
                <w:color w:val="000000"/>
                <w:sz w:val="24"/>
              </w:rPr>
              <w:t>24、支持web浏览器上查看系统视频画面；</w:t>
            </w:r>
          </w:p>
          <w:p>
            <w:pPr>
              <w:widowControl/>
              <w:jc w:val="left"/>
              <w:textAlignment w:val="top"/>
              <w:rPr>
                <w:rFonts w:ascii="宋体" w:hAnsi="宋体" w:cs="宋体"/>
                <w:color w:val="000000"/>
                <w:sz w:val="24"/>
              </w:rPr>
            </w:pPr>
            <w:r>
              <w:rPr>
                <w:rFonts w:hint="eastAsia" w:ascii="宋体" w:hAnsi="宋体" w:cs="宋体"/>
                <w:color w:val="000000"/>
                <w:sz w:val="24"/>
              </w:rPr>
              <w:t>25、支持远程配置设备参数，支持远程对设备进行维护操作（升级、日志查询、恢复默认参数等）；</w:t>
            </w:r>
          </w:p>
          <w:p>
            <w:pPr>
              <w:widowControl/>
              <w:jc w:val="left"/>
              <w:textAlignment w:val="top"/>
              <w:rPr>
                <w:rFonts w:ascii="宋体" w:hAnsi="宋体" w:cs="宋体"/>
                <w:b/>
                <w:bCs/>
                <w:color w:val="000000"/>
                <w:sz w:val="24"/>
              </w:rPr>
            </w:pPr>
            <w:r>
              <w:rPr>
                <w:rFonts w:hint="eastAsia" w:ascii="宋体" w:hAnsi="宋体" w:cs="宋体"/>
                <w:color w:val="000000"/>
                <w:sz w:val="24"/>
              </w:rPr>
              <w:t>26、★应支持2.4Ghz/5G双频WIFI；</w:t>
            </w:r>
            <w:r>
              <w:rPr>
                <w:rFonts w:hint="eastAsia" w:ascii="宋体" w:hAnsi="宋体" w:cs="宋体"/>
                <w:b/>
                <w:bCs/>
                <w:color w:val="000000"/>
                <w:sz w:val="24"/>
              </w:rPr>
              <w:t>（提供具有CNAS标志的检测机构的检测报告复印件加盖制造商公章）</w:t>
            </w:r>
          </w:p>
          <w:p>
            <w:pPr>
              <w:widowControl/>
              <w:jc w:val="left"/>
              <w:textAlignment w:val="top"/>
              <w:rPr>
                <w:rFonts w:ascii="宋体" w:hAnsi="宋体" w:cs="宋体"/>
                <w:b/>
                <w:bCs/>
                <w:color w:val="000000"/>
                <w:sz w:val="24"/>
              </w:rPr>
            </w:pPr>
            <w:r>
              <w:rPr>
                <w:rFonts w:hint="eastAsia" w:ascii="宋体" w:hAnsi="宋体" w:cs="宋体"/>
                <w:color w:val="000000"/>
                <w:sz w:val="24"/>
              </w:rPr>
              <w:t>27、支持WIFI模式和热点模式，设备开启热点功能时，可选择开启2.4G热点或5G 热点；</w:t>
            </w:r>
          </w:p>
          <w:p>
            <w:pPr>
              <w:widowControl/>
              <w:jc w:val="left"/>
              <w:textAlignment w:val="top"/>
              <w:rPr>
                <w:rFonts w:ascii="宋体" w:hAnsi="宋体" w:cs="宋体"/>
                <w:color w:val="000000"/>
                <w:sz w:val="24"/>
              </w:rPr>
            </w:pPr>
            <w:r>
              <w:rPr>
                <w:rFonts w:hint="eastAsia" w:ascii="宋体" w:hAnsi="宋体" w:cs="宋体"/>
                <w:color w:val="000000"/>
                <w:sz w:val="24"/>
              </w:rPr>
              <w:t>28、支持通过APP，在互联网上进行远程预览；</w:t>
            </w:r>
          </w:p>
          <w:p>
            <w:pPr>
              <w:widowControl/>
              <w:jc w:val="left"/>
              <w:textAlignment w:val="top"/>
              <w:rPr>
                <w:rFonts w:ascii="宋体" w:hAnsi="宋体" w:cs="宋体"/>
                <w:color w:val="000000"/>
                <w:sz w:val="24"/>
              </w:rPr>
            </w:pPr>
            <w:r>
              <w:rPr>
                <w:rFonts w:hint="eastAsia" w:ascii="宋体" w:hAnsi="宋体" w:cs="宋体"/>
                <w:color w:val="000000"/>
                <w:sz w:val="24"/>
              </w:rPr>
              <w:t>29、支持RTMP远程直播功能；</w:t>
            </w:r>
          </w:p>
          <w:p>
            <w:pPr>
              <w:widowControl/>
              <w:jc w:val="left"/>
              <w:textAlignment w:val="top"/>
              <w:rPr>
                <w:rFonts w:ascii="宋体" w:hAnsi="宋体" w:cs="宋体"/>
                <w:b/>
                <w:bCs/>
                <w:color w:val="000000"/>
                <w:sz w:val="24"/>
              </w:rPr>
            </w:pPr>
            <w:r>
              <w:rPr>
                <w:rFonts w:hint="eastAsia" w:ascii="宋体" w:hAnsi="宋体" w:cs="宋体"/>
                <w:color w:val="000000"/>
                <w:sz w:val="24"/>
              </w:rPr>
              <w:t>30、支持跨互联网远程多方互动，参与者可同时进行音视频互动，参会者不少于5个，且支持软终端参会者；</w:t>
            </w:r>
          </w:p>
          <w:p>
            <w:pPr>
              <w:widowControl/>
              <w:jc w:val="left"/>
              <w:textAlignment w:val="top"/>
              <w:rPr>
                <w:rFonts w:ascii="宋体" w:hAnsi="宋体" w:cs="宋体"/>
                <w:b/>
                <w:bCs/>
                <w:color w:val="000000"/>
                <w:sz w:val="24"/>
              </w:rPr>
            </w:pPr>
            <w:r>
              <w:rPr>
                <w:rFonts w:hint="eastAsia" w:ascii="宋体" w:hAnsi="宋体" w:cs="宋体"/>
                <w:color w:val="000000"/>
                <w:sz w:val="24"/>
              </w:rPr>
              <w:t>31、★</w:t>
            </w:r>
            <w:r>
              <w:rPr>
                <w:rFonts w:ascii="宋体" w:hAnsi="宋体" w:cs="宋体"/>
                <w:color w:val="000000"/>
                <w:sz w:val="24"/>
              </w:rPr>
              <w:t>移动式视频管理系统中录播终端需支持手机等无线设备的投屏，并可与其他通道画面融合输出投屏；</w:t>
            </w:r>
            <w:r>
              <w:rPr>
                <w:rFonts w:hint="eastAsia" w:ascii="宋体" w:hAnsi="宋体" w:cs="宋体"/>
                <w:b/>
                <w:bCs/>
                <w:color w:val="000000"/>
                <w:sz w:val="24"/>
              </w:rPr>
              <w:t>（提供具有CNAS标志的检测机构的检测报告复印件加盖制造商公章）</w:t>
            </w:r>
          </w:p>
          <w:p>
            <w:pPr>
              <w:rPr>
                <w:rFonts w:ascii="Cambria" w:hAnsi="Cambria"/>
                <w:color w:val="595959"/>
                <w:lang w:val="zh-CN"/>
              </w:rPr>
            </w:pPr>
            <w:r>
              <w:rPr>
                <w:rFonts w:hint="eastAsia" w:ascii="宋体" w:hAnsi="宋体" w:cs="宋体"/>
                <w:color w:val="000000"/>
                <w:sz w:val="24"/>
              </w:rPr>
              <w:t>32、</w:t>
            </w:r>
            <w:r>
              <w:rPr>
                <w:rFonts w:ascii="宋体" w:hAnsi="宋体" w:cs="宋体"/>
                <w:color w:val="000000"/>
                <w:sz w:val="24"/>
              </w:rPr>
              <w:t>支持双图比对，可将老师示范成果物截图和学生成果物截图进行分屏比对</w:t>
            </w:r>
            <w:r>
              <w:rPr>
                <w:rFonts w:hint="eastAsia" w:ascii="宋体" w:hAnsi="宋体" w:cs="宋体"/>
                <w:color w:val="000000"/>
                <w:sz w:val="24"/>
              </w:rPr>
              <w:t>。</w:t>
            </w:r>
          </w:p>
        </w:tc>
        <w:tc>
          <w:tcPr>
            <w:tcW w:w="623" w:type="dxa"/>
            <w:vAlign w:val="center"/>
          </w:tcPr>
          <w:p>
            <w:pPr>
              <w:widowControl/>
              <w:ind w:right="110"/>
              <w:jc w:val="center"/>
              <w:rPr>
                <w:rFonts w:ascii="宋体" w:hAnsi="宋体" w:cs="宋体"/>
                <w:color w:val="000000"/>
                <w:kern w:val="0"/>
                <w:sz w:val="24"/>
              </w:rPr>
            </w:pPr>
            <w:r>
              <w:rPr>
                <w:rFonts w:ascii="宋体" w:hAnsi="宋体" w:cs="宋体"/>
                <w:color w:val="000000"/>
                <w:kern w:val="0"/>
                <w:sz w:val="24"/>
              </w:rPr>
              <w:t>台</w:t>
            </w:r>
          </w:p>
        </w:tc>
        <w:tc>
          <w:tcPr>
            <w:tcW w:w="515" w:type="dxa"/>
            <w:shd w:val="clear" w:color="auto" w:fill="auto"/>
            <w:noWrap/>
            <w:vAlign w:val="center"/>
          </w:tcPr>
          <w:p>
            <w:pPr>
              <w:widowControl/>
              <w:ind w:right="110"/>
              <w:jc w:val="center"/>
              <w:rPr>
                <w:rFonts w:ascii="宋体" w:hAnsi="宋体" w:cs="宋体"/>
                <w:color w:val="000000"/>
                <w:kern w:val="0"/>
                <w:sz w:val="24"/>
              </w:rPr>
            </w:pPr>
            <w:r>
              <w:rPr>
                <w:rFonts w:hint="eastAsia" w:ascii="宋体" w:hAnsi="宋体" w:cs="宋体"/>
                <w:color w:val="000000"/>
                <w:kern w:val="0"/>
                <w:sz w:val="24"/>
              </w:rPr>
              <w:t>1</w:t>
            </w:r>
          </w:p>
        </w:tc>
        <w:tc>
          <w:tcPr>
            <w:tcW w:w="1423" w:type="dxa"/>
            <w:vAlign w:val="center"/>
          </w:tcPr>
          <w:p>
            <w:pPr>
              <w:widowControl/>
              <w:ind w:right="110"/>
              <w:jc w:val="left"/>
              <w:rPr>
                <w:rFonts w:ascii="宋体" w:hAnsi="宋体" w:cs="宋体"/>
                <w:color w:val="000000"/>
                <w:kern w:val="0"/>
                <w:sz w:val="24"/>
              </w:rPr>
            </w:pPr>
            <w:r>
              <w:rPr>
                <w:rFonts w:ascii="宋体" w:hAnsi="宋体" w:cs="宋体"/>
                <w:color w:val="000000"/>
                <w:kern w:val="0"/>
                <w:sz w:val="24"/>
              </w:rPr>
              <w:t>中餐厅、茶艺、香道教室共享使用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153"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教师互动电视</w:t>
            </w:r>
          </w:p>
        </w:tc>
        <w:tc>
          <w:tcPr>
            <w:tcW w:w="6228" w:type="dxa"/>
            <w:shd w:val="clear" w:color="auto" w:fill="auto"/>
          </w:tcPr>
          <w:p>
            <w:pPr>
              <w:widowControl/>
              <w:jc w:val="left"/>
              <w:textAlignment w:val="top"/>
              <w:rPr>
                <w:rFonts w:ascii="宋体" w:hAnsi="宋体" w:cs="宋体"/>
                <w:color w:val="000000"/>
                <w:kern w:val="0"/>
                <w:sz w:val="24"/>
              </w:rPr>
            </w:pPr>
            <w:r>
              <w:rPr>
                <w:rFonts w:hint="eastAsia" w:ascii="宋体" w:hAnsi="宋体" w:cs="宋体"/>
                <w:color w:val="000000"/>
                <w:kern w:val="0"/>
                <w:sz w:val="24"/>
              </w:rPr>
              <w:t>1、屏幕尺寸≥55英寸；</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2、屏幕分辨率支持4K；</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3、屏幕比例支持16:9；</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4、接口支持HDMI输入；</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5、支持来电自动开机进入到HDMI输入信号；</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6、含HDMI网络接收模块；</w:t>
            </w:r>
          </w:p>
        </w:tc>
        <w:tc>
          <w:tcPr>
            <w:tcW w:w="623" w:type="dxa"/>
            <w:vAlign w:val="center"/>
          </w:tcPr>
          <w:p>
            <w:pPr>
              <w:widowControl/>
              <w:ind w:right="110"/>
              <w:jc w:val="center"/>
              <w:rPr>
                <w:rFonts w:ascii="宋体" w:hAnsi="宋体" w:cs="宋体"/>
                <w:color w:val="000000"/>
                <w:kern w:val="0"/>
                <w:sz w:val="24"/>
              </w:rPr>
            </w:pPr>
            <w:r>
              <w:rPr>
                <w:rFonts w:hint="eastAsia" w:ascii="宋体" w:hAnsi="宋体" w:cs="宋体"/>
                <w:color w:val="000000"/>
                <w:kern w:val="0"/>
                <w:sz w:val="24"/>
              </w:rPr>
              <w:t>台</w:t>
            </w:r>
          </w:p>
        </w:tc>
        <w:tc>
          <w:tcPr>
            <w:tcW w:w="515" w:type="dxa"/>
            <w:shd w:val="clear" w:color="auto" w:fill="auto"/>
            <w:noWrap/>
            <w:vAlign w:val="center"/>
          </w:tcPr>
          <w:p>
            <w:pPr>
              <w:widowControl/>
              <w:ind w:right="110"/>
              <w:jc w:val="center"/>
              <w:rPr>
                <w:rFonts w:ascii="宋体" w:hAnsi="宋体" w:cs="宋体"/>
                <w:color w:val="000000"/>
                <w:kern w:val="0"/>
                <w:sz w:val="24"/>
              </w:rPr>
            </w:pPr>
            <w:r>
              <w:rPr>
                <w:rFonts w:hint="eastAsia" w:ascii="宋体" w:hAnsi="宋体" w:cs="宋体"/>
                <w:color w:val="000000"/>
                <w:kern w:val="0"/>
                <w:sz w:val="24"/>
              </w:rPr>
              <w:t>8</w:t>
            </w:r>
          </w:p>
        </w:tc>
        <w:tc>
          <w:tcPr>
            <w:tcW w:w="1423" w:type="dxa"/>
            <w:vAlign w:val="center"/>
          </w:tcPr>
          <w:p>
            <w:pPr>
              <w:widowControl/>
              <w:ind w:right="110"/>
              <w:jc w:val="left"/>
              <w:rPr>
                <w:rFonts w:ascii="宋体" w:hAnsi="宋体" w:cs="宋体"/>
                <w:color w:val="000000"/>
                <w:kern w:val="0"/>
                <w:sz w:val="24"/>
              </w:rPr>
            </w:pPr>
            <w:r>
              <w:rPr>
                <w:rFonts w:hint="eastAsia" w:ascii="宋体" w:hAnsi="宋体" w:cs="宋体"/>
                <w:color w:val="000000"/>
                <w:kern w:val="0"/>
                <w:sz w:val="24"/>
              </w:rPr>
              <w:t>茶艺教室*2台、香道教室*2台、原铁板烧教室*2台、原花艺教室*2台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1153"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教师互动电视</w:t>
            </w:r>
          </w:p>
        </w:tc>
        <w:tc>
          <w:tcPr>
            <w:tcW w:w="6228" w:type="dxa"/>
            <w:shd w:val="clear" w:color="auto" w:fill="auto"/>
          </w:tcPr>
          <w:p>
            <w:pPr>
              <w:widowControl/>
              <w:jc w:val="left"/>
              <w:textAlignment w:val="top"/>
              <w:rPr>
                <w:rFonts w:ascii="宋体" w:hAnsi="宋体" w:cs="宋体"/>
                <w:color w:val="000000"/>
                <w:kern w:val="0"/>
                <w:sz w:val="24"/>
              </w:rPr>
            </w:pPr>
            <w:r>
              <w:rPr>
                <w:rFonts w:hint="eastAsia" w:ascii="宋体" w:hAnsi="宋体" w:cs="宋体"/>
                <w:color w:val="000000"/>
                <w:kern w:val="0"/>
                <w:sz w:val="24"/>
              </w:rPr>
              <w:t>1、屏幕尺寸≥65英寸；</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2、屏幕分辨率支持4K；</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3、屏幕比例支持16:9；</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4、接口支持HDMI输入；</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5、支持来电自动开机进入到HDMI输入信号；</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6、含HDMI网络接收模块；</w:t>
            </w:r>
          </w:p>
        </w:tc>
        <w:tc>
          <w:tcPr>
            <w:tcW w:w="623" w:type="dxa"/>
            <w:vAlign w:val="center"/>
          </w:tcPr>
          <w:p>
            <w:pPr>
              <w:widowControl/>
              <w:ind w:right="110"/>
              <w:jc w:val="center"/>
              <w:rPr>
                <w:rFonts w:ascii="宋体" w:hAnsi="宋体" w:cs="宋体"/>
                <w:color w:val="000000"/>
                <w:kern w:val="0"/>
                <w:sz w:val="24"/>
              </w:rPr>
            </w:pPr>
            <w:r>
              <w:rPr>
                <w:rFonts w:hint="eastAsia" w:ascii="宋体" w:hAnsi="宋体" w:cs="宋体"/>
                <w:color w:val="000000"/>
                <w:kern w:val="0"/>
                <w:sz w:val="24"/>
              </w:rPr>
              <w:t>台</w:t>
            </w:r>
          </w:p>
        </w:tc>
        <w:tc>
          <w:tcPr>
            <w:tcW w:w="515" w:type="dxa"/>
            <w:shd w:val="clear" w:color="auto" w:fill="auto"/>
            <w:noWrap/>
            <w:vAlign w:val="center"/>
          </w:tcPr>
          <w:p>
            <w:pPr>
              <w:widowControl/>
              <w:ind w:right="110"/>
              <w:jc w:val="center"/>
              <w:rPr>
                <w:rFonts w:ascii="宋体" w:hAnsi="宋体" w:cs="宋体"/>
                <w:color w:val="000000"/>
                <w:kern w:val="0"/>
                <w:sz w:val="24"/>
              </w:rPr>
            </w:pPr>
            <w:r>
              <w:rPr>
                <w:rFonts w:hint="eastAsia" w:ascii="宋体" w:hAnsi="宋体" w:cs="宋体"/>
                <w:color w:val="000000"/>
                <w:kern w:val="0"/>
                <w:sz w:val="24"/>
              </w:rPr>
              <w:t>6</w:t>
            </w:r>
          </w:p>
        </w:tc>
        <w:tc>
          <w:tcPr>
            <w:tcW w:w="1423" w:type="dxa"/>
            <w:vAlign w:val="center"/>
          </w:tcPr>
          <w:p>
            <w:pPr>
              <w:widowControl/>
              <w:ind w:right="110"/>
              <w:jc w:val="left"/>
              <w:rPr>
                <w:rFonts w:ascii="宋体" w:hAnsi="宋体" w:cs="宋体"/>
                <w:color w:val="000000"/>
                <w:kern w:val="0"/>
                <w:sz w:val="24"/>
              </w:rPr>
            </w:pPr>
            <w:r>
              <w:rPr>
                <w:rFonts w:hint="eastAsia" w:ascii="宋体" w:hAnsi="宋体" w:cs="宋体"/>
                <w:color w:val="000000"/>
                <w:kern w:val="0"/>
                <w:sz w:val="24"/>
              </w:rPr>
              <w:t>烹饪基地西餐实训室*2台、烹饪基地中西面点实训室*2台、中餐厅*2台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153"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教师互动电视</w:t>
            </w:r>
          </w:p>
        </w:tc>
        <w:tc>
          <w:tcPr>
            <w:tcW w:w="6228" w:type="dxa"/>
            <w:shd w:val="clear" w:color="auto" w:fill="auto"/>
          </w:tcPr>
          <w:p>
            <w:pPr>
              <w:widowControl/>
              <w:jc w:val="left"/>
              <w:textAlignment w:val="top"/>
              <w:rPr>
                <w:rFonts w:ascii="宋体" w:hAnsi="宋体" w:cs="宋体"/>
                <w:color w:val="000000"/>
                <w:kern w:val="0"/>
                <w:sz w:val="24"/>
              </w:rPr>
            </w:pPr>
            <w:r>
              <w:rPr>
                <w:rFonts w:hint="eastAsia" w:ascii="宋体" w:hAnsi="宋体" w:cs="宋体"/>
                <w:color w:val="000000"/>
                <w:kern w:val="0"/>
                <w:sz w:val="24"/>
              </w:rPr>
              <w:t>1、屏幕尺寸≥85英寸；</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2、屏幕分辨率支持4K；</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3、屏幕比例支持16:9；</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4、接口支持HDMI输入；</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5、支持来电自动开机进入到HDMI输入信号；</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6、含HDMI网络接收模块；</w:t>
            </w:r>
          </w:p>
        </w:tc>
        <w:tc>
          <w:tcPr>
            <w:tcW w:w="623" w:type="dxa"/>
            <w:vAlign w:val="center"/>
          </w:tcPr>
          <w:p>
            <w:pPr>
              <w:widowControl/>
              <w:ind w:right="110"/>
              <w:jc w:val="center"/>
              <w:rPr>
                <w:rFonts w:ascii="宋体" w:hAnsi="宋体" w:cs="宋体"/>
                <w:color w:val="000000"/>
                <w:kern w:val="0"/>
                <w:sz w:val="24"/>
              </w:rPr>
            </w:pPr>
            <w:r>
              <w:rPr>
                <w:rFonts w:hint="eastAsia" w:ascii="宋体" w:hAnsi="宋体" w:cs="宋体"/>
                <w:color w:val="000000"/>
                <w:kern w:val="0"/>
                <w:sz w:val="24"/>
              </w:rPr>
              <w:t>台</w:t>
            </w:r>
          </w:p>
        </w:tc>
        <w:tc>
          <w:tcPr>
            <w:tcW w:w="515" w:type="dxa"/>
            <w:shd w:val="clear" w:color="auto" w:fill="auto"/>
            <w:noWrap/>
            <w:vAlign w:val="center"/>
          </w:tcPr>
          <w:p>
            <w:pPr>
              <w:widowControl/>
              <w:ind w:right="110"/>
              <w:jc w:val="center"/>
              <w:rPr>
                <w:rFonts w:ascii="宋体" w:hAnsi="宋体" w:cs="宋体"/>
                <w:color w:val="000000"/>
                <w:kern w:val="0"/>
                <w:sz w:val="24"/>
              </w:rPr>
            </w:pPr>
            <w:r>
              <w:rPr>
                <w:rFonts w:hint="eastAsia" w:ascii="宋体" w:hAnsi="宋体" w:cs="宋体"/>
                <w:color w:val="000000"/>
                <w:kern w:val="0"/>
                <w:sz w:val="24"/>
              </w:rPr>
              <w:t>6</w:t>
            </w:r>
          </w:p>
        </w:tc>
        <w:tc>
          <w:tcPr>
            <w:tcW w:w="1423" w:type="dxa"/>
            <w:vAlign w:val="center"/>
          </w:tcPr>
          <w:p>
            <w:pPr>
              <w:widowControl/>
              <w:ind w:right="110"/>
              <w:jc w:val="left"/>
              <w:rPr>
                <w:rFonts w:ascii="宋体" w:hAnsi="宋体" w:cs="宋体"/>
                <w:color w:val="000000"/>
                <w:kern w:val="0"/>
                <w:sz w:val="24"/>
              </w:rPr>
            </w:pPr>
            <w:r>
              <w:rPr>
                <w:rFonts w:hint="eastAsia" w:ascii="宋体" w:hAnsi="宋体" w:cs="宋体"/>
                <w:color w:val="000000"/>
                <w:kern w:val="0"/>
                <w:sz w:val="24"/>
              </w:rPr>
              <w:t>烹饪基地烘焙B实训室、烹饪基地烘焙C实训室、烹饪基地烘焙D实训室各2台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1153"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电视机吊装支架</w:t>
            </w:r>
          </w:p>
        </w:tc>
        <w:tc>
          <w:tcPr>
            <w:tcW w:w="6228" w:type="dxa"/>
            <w:shd w:val="clear" w:color="auto" w:fill="auto"/>
            <w:vAlign w:val="center"/>
          </w:tcPr>
          <w:p>
            <w:pPr>
              <w:widowControl/>
              <w:jc w:val="left"/>
              <w:textAlignment w:val="top"/>
              <w:rPr>
                <w:rFonts w:ascii="宋体" w:hAnsi="宋体" w:cs="宋体"/>
                <w:color w:val="000000"/>
                <w:kern w:val="0"/>
                <w:sz w:val="24"/>
              </w:rPr>
            </w:pPr>
            <w:r>
              <w:rPr>
                <w:rFonts w:hint="eastAsia" w:ascii="宋体" w:hAnsi="宋体" w:cs="宋体"/>
                <w:color w:val="000000"/>
                <w:kern w:val="0"/>
                <w:sz w:val="24"/>
              </w:rPr>
              <w:t>1、高度可调</w:t>
            </w:r>
          </w:p>
          <w:p>
            <w:pPr>
              <w:widowControl/>
              <w:jc w:val="left"/>
              <w:textAlignment w:val="top"/>
              <w:rPr>
                <w:rFonts w:ascii="宋体" w:hAnsi="宋体" w:cs="宋体"/>
                <w:sz w:val="24"/>
              </w:rPr>
            </w:pPr>
            <w:r>
              <w:rPr>
                <w:rFonts w:hint="eastAsia" w:ascii="宋体" w:hAnsi="宋体" w:cs="宋体"/>
                <w:color w:val="000000"/>
                <w:kern w:val="0"/>
                <w:sz w:val="24"/>
              </w:rPr>
              <w:t>2、可旋转</w:t>
            </w:r>
          </w:p>
        </w:tc>
        <w:tc>
          <w:tcPr>
            <w:tcW w:w="623" w:type="dxa"/>
            <w:vAlign w:val="center"/>
          </w:tcPr>
          <w:p>
            <w:pPr>
              <w:widowControl/>
              <w:ind w:right="110"/>
              <w:jc w:val="center"/>
              <w:rPr>
                <w:rFonts w:ascii="宋体" w:hAnsi="宋体" w:cs="宋体"/>
                <w:color w:val="000000"/>
                <w:kern w:val="0"/>
                <w:sz w:val="24"/>
              </w:rPr>
            </w:pPr>
            <w:r>
              <w:rPr>
                <w:rFonts w:hint="eastAsia" w:ascii="宋体" w:hAnsi="宋体" w:cs="宋体"/>
                <w:color w:val="000000"/>
                <w:kern w:val="0"/>
                <w:sz w:val="24"/>
              </w:rPr>
              <w:t>副</w:t>
            </w:r>
          </w:p>
        </w:tc>
        <w:tc>
          <w:tcPr>
            <w:tcW w:w="515"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1423" w:type="dxa"/>
            <w:vAlign w:val="center"/>
          </w:tcPr>
          <w:p>
            <w:pPr>
              <w:widowControl/>
              <w:ind w:right="110"/>
              <w:jc w:val="left"/>
              <w:rPr>
                <w:rFonts w:ascii="宋体" w:hAnsi="宋体" w:cs="宋体"/>
                <w:color w:val="000000"/>
                <w:kern w:val="0"/>
                <w:sz w:val="24"/>
              </w:rPr>
            </w:pPr>
            <w:r>
              <w:rPr>
                <w:rFonts w:hint="eastAsia" w:ascii="宋体" w:hAnsi="宋体" w:cs="宋体"/>
                <w:color w:val="000000"/>
                <w:kern w:val="0"/>
                <w:sz w:val="24"/>
              </w:rPr>
              <w:t>8个教室+原铁板烧、花艺教室各2副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153"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无线AP</w:t>
            </w:r>
          </w:p>
        </w:tc>
        <w:tc>
          <w:tcPr>
            <w:tcW w:w="6228" w:type="dxa"/>
            <w:shd w:val="clear" w:color="auto" w:fill="auto"/>
            <w:vAlign w:val="center"/>
          </w:tcPr>
          <w:p>
            <w:pPr>
              <w:widowControl/>
              <w:jc w:val="left"/>
              <w:textAlignment w:val="top"/>
              <w:rPr>
                <w:rFonts w:ascii="宋体" w:hAnsi="宋体" w:cs="宋体"/>
                <w:color w:val="000000"/>
                <w:kern w:val="0"/>
                <w:sz w:val="24"/>
              </w:rPr>
            </w:pPr>
            <w:r>
              <w:rPr>
                <w:rFonts w:hint="eastAsia" w:ascii="宋体" w:hAnsi="宋体" w:cs="宋体"/>
                <w:color w:val="000000"/>
                <w:kern w:val="0"/>
                <w:sz w:val="24"/>
              </w:rPr>
              <w:t xml:space="preserve">支持IEEE 802.11a、IEEE 802.11b、IEEE 802.11g、IEEE 802.11n、IEEE 802.11a、IEEE 802.11b </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支持双频(2.4GHz，5GHz)</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支持WIFI6</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1个千兆以太网口</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支持POE供电</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吸顶安装</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内置天线系统</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支持64/128位WEP、动态WEP、TKIP、CCMP(11n推荐)加密;</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支持多种密钥更新触发条件动态更新</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单播/广播密钥</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支持802.11i</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支持无线用户二层隔离;支持基于SSID的无线用户隔离</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支持报文过滤、MAC地址过滤、广播风暴抑制等</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支持无线端点准入无线EAD</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支持SSID与VLAN绑定</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支持智能无线业务感知(wIAA)</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支持wIDS/wIPS</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支持管理帧保护(802.11w)</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支持实时频谱防护(RTSG)</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纠错</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TR-069、SNMP V1N2c/V3、Trap、HTTP(S)、SSH、Telnet、FTP/TFTP</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支持管理SSID</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工作温度:-10-55℃</w:t>
            </w:r>
          </w:p>
          <w:p>
            <w:pPr>
              <w:widowControl/>
              <w:jc w:val="left"/>
              <w:rPr>
                <w:rFonts w:ascii="宋体" w:hAnsi="宋体" w:cs="宋体"/>
                <w:color w:val="000000"/>
                <w:kern w:val="0"/>
                <w:sz w:val="24"/>
              </w:rPr>
            </w:pPr>
            <w:r>
              <w:rPr>
                <w:rFonts w:hint="eastAsia" w:ascii="宋体" w:hAnsi="宋体" w:cs="宋体"/>
                <w:color w:val="000000"/>
                <w:kern w:val="0"/>
                <w:sz w:val="24"/>
              </w:rPr>
              <w:t>工作湿度:5%-95%</w:t>
            </w:r>
          </w:p>
        </w:tc>
        <w:tc>
          <w:tcPr>
            <w:tcW w:w="62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515"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423"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8个教室各1台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1153" w:type="dxa"/>
            <w:shd w:val="clear" w:color="auto" w:fill="auto"/>
            <w:noWrap/>
            <w:vAlign w:val="center"/>
          </w:tcPr>
          <w:p>
            <w:pPr>
              <w:widowControl/>
              <w:jc w:val="left"/>
              <w:textAlignment w:val="top"/>
              <w:rPr>
                <w:rFonts w:ascii="宋体" w:hAnsi="宋体" w:cs="宋体"/>
                <w:color w:val="000000"/>
                <w:kern w:val="0"/>
                <w:sz w:val="24"/>
              </w:rPr>
            </w:pPr>
            <w:r>
              <w:rPr>
                <w:rFonts w:hint="eastAsia" w:ascii="宋体" w:hAnsi="宋体" w:cs="宋体"/>
                <w:color w:val="000000"/>
                <w:kern w:val="0"/>
                <w:sz w:val="24"/>
              </w:rPr>
              <w:t>千兆路由器</w:t>
            </w:r>
          </w:p>
        </w:tc>
        <w:tc>
          <w:tcPr>
            <w:tcW w:w="6228" w:type="dxa"/>
            <w:shd w:val="clear" w:color="auto" w:fill="auto"/>
            <w:vAlign w:val="center"/>
          </w:tcPr>
          <w:p>
            <w:pPr>
              <w:widowControl/>
              <w:jc w:val="left"/>
              <w:textAlignment w:val="top"/>
              <w:rPr>
                <w:rFonts w:ascii="宋体" w:hAnsi="宋体" w:cs="宋体"/>
                <w:color w:val="000000"/>
                <w:kern w:val="0"/>
                <w:sz w:val="24"/>
              </w:rPr>
            </w:pPr>
            <w:r>
              <w:rPr>
                <w:rFonts w:hint="eastAsia" w:ascii="宋体" w:hAnsi="宋体" w:cs="宋体"/>
                <w:color w:val="000000"/>
                <w:kern w:val="0"/>
                <w:sz w:val="24"/>
              </w:rPr>
              <w:t>企业级路由器</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10/100/1000Mbps</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非模块化</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1个千兆WAN口</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4个千兆LAN口</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1个USB2.0接口</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Poe供电输出口</w:t>
            </w:r>
          </w:p>
        </w:tc>
        <w:tc>
          <w:tcPr>
            <w:tcW w:w="62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515"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423"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8个教室各1台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1153"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交换机</w:t>
            </w:r>
          </w:p>
        </w:tc>
        <w:tc>
          <w:tcPr>
            <w:tcW w:w="6228" w:type="dxa"/>
            <w:shd w:val="clear" w:color="auto" w:fill="auto"/>
            <w:vAlign w:val="center"/>
          </w:tcPr>
          <w:p>
            <w:pPr>
              <w:widowControl/>
              <w:jc w:val="left"/>
              <w:textAlignment w:val="top"/>
              <w:rPr>
                <w:rFonts w:ascii="宋体" w:hAnsi="宋体" w:cs="宋体"/>
                <w:color w:val="000000"/>
                <w:kern w:val="0"/>
                <w:sz w:val="24"/>
              </w:rPr>
            </w:pPr>
            <w:r>
              <w:rPr>
                <w:rFonts w:hint="eastAsia" w:ascii="宋体" w:hAnsi="宋体" w:cs="宋体"/>
                <w:color w:val="000000"/>
                <w:kern w:val="0"/>
                <w:sz w:val="24"/>
              </w:rPr>
              <w:t>符合IEEE 802.3 10Base-T,IEEE 802.3u 100Base-TX，IEEE802.3x和IEEE802.3ab 1000Base-T标准</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全线速的二层千兆交换能力，保证所有端口无阻塞进行报文转发</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24个10/100M/1000M自适应RJ45端口</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支持MDI/MDIX自适应功能</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采用存储转发的交换机制</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内置通用电源，1U铁壳，13英寸机箱，工业级设计，通过安装挂耳可上标准机架</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采用共享缓存架构，每个端口可利用的缓存空间扩大数倍，可大大增强突发大流量的转发性能;</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集成专业级防雷电路，可提供防雷等级4级(共模防护7KV)的专业防护;</w:t>
            </w:r>
          </w:p>
        </w:tc>
        <w:tc>
          <w:tcPr>
            <w:tcW w:w="62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515"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423"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烹饪基地西餐实训室、烹饪基地中西面点实训室各1台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1153"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交换机</w:t>
            </w:r>
          </w:p>
        </w:tc>
        <w:tc>
          <w:tcPr>
            <w:tcW w:w="6228" w:type="dxa"/>
            <w:shd w:val="clear" w:color="auto" w:fill="auto"/>
            <w:vAlign w:val="center"/>
          </w:tcPr>
          <w:p>
            <w:pPr>
              <w:widowControl/>
              <w:jc w:val="left"/>
              <w:textAlignment w:val="top"/>
              <w:rPr>
                <w:rFonts w:ascii="宋体" w:hAnsi="宋体" w:cs="宋体"/>
                <w:color w:val="000000"/>
                <w:kern w:val="0"/>
                <w:sz w:val="24"/>
              </w:rPr>
            </w:pPr>
            <w:r>
              <w:rPr>
                <w:rFonts w:hint="eastAsia" w:ascii="宋体" w:hAnsi="宋体" w:cs="宋体"/>
                <w:color w:val="000000"/>
                <w:kern w:val="0"/>
                <w:sz w:val="24"/>
              </w:rPr>
              <w:t>符合IEEE 802.3 10Base-T,IEEE 802.3u 100Base-TX，IEEE802.3x和IEEE802.3ab 1000Base-T标准</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全线速的二层千兆交换能力，保证所有端口无阻塞进行报文转发</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16个10/100M/1000M自适应RJ45端口</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支持MDI/MDIX自适应功能</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采用存储转发的交换机制</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内置通用电源，1U铁壳，13英寸机箱，工业级设计，通过安装挂耳可上标准机架</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采用共享缓存架构，每个端口可利用的缓存空间扩大数倍，可大大增强突发大流量的转发性能;</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集成专业级防雷电路，可提供防雷等级4级(共模防护7KV)的专业防护;</w:t>
            </w:r>
          </w:p>
        </w:tc>
        <w:tc>
          <w:tcPr>
            <w:tcW w:w="62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515"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423"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烹饪基地烘焙B实训室、烹饪基地烘焙C实训室、烹饪基地烘焙D实训室各1台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1153"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机柜</w:t>
            </w:r>
          </w:p>
        </w:tc>
        <w:tc>
          <w:tcPr>
            <w:tcW w:w="6228" w:type="dxa"/>
            <w:shd w:val="clear" w:color="auto" w:fill="auto"/>
            <w:vAlign w:val="center"/>
          </w:tcPr>
          <w:p>
            <w:pPr>
              <w:widowControl/>
              <w:jc w:val="left"/>
              <w:textAlignment w:val="top"/>
              <w:rPr>
                <w:rFonts w:ascii="宋体" w:hAnsi="宋体" w:cs="宋体"/>
                <w:color w:val="000000"/>
                <w:kern w:val="0"/>
                <w:sz w:val="24"/>
              </w:rPr>
            </w:pPr>
            <w:r>
              <w:rPr>
                <w:rFonts w:hint="eastAsia" w:ascii="宋体" w:hAnsi="宋体" w:cs="宋体"/>
                <w:color w:val="000000"/>
                <w:kern w:val="0"/>
                <w:sz w:val="24"/>
              </w:rPr>
              <w:t>1、外观美观，全框架结构，方便实用，防腐材料涂层；</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2、采用旋转式散热风口，外型更美观，散热更好；</w:t>
            </w:r>
          </w:p>
          <w:p>
            <w:pPr>
              <w:widowControl/>
              <w:jc w:val="left"/>
              <w:rPr>
                <w:rFonts w:ascii="宋体" w:hAnsi="宋体" w:cs="宋体"/>
                <w:color w:val="000000"/>
                <w:kern w:val="0"/>
                <w:sz w:val="24"/>
              </w:rPr>
            </w:pPr>
            <w:r>
              <w:rPr>
                <w:rFonts w:hint="eastAsia" w:ascii="宋体" w:hAnsi="宋体" w:cs="宋体"/>
                <w:color w:val="000000"/>
                <w:kern w:val="0"/>
                <w:sz w:val="24"/>
              </w:rPr>
              <w:t>3、容积（U）：9U</w:t>
            </w:r>
          </w:p>
        </w:tc>
        <w:tc>
          <w:tcPr>
            <w:tcW w:w="62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515" w:type="dxa"/>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423"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8个教室各1个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1153"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无线音频主机</w:t>
            </w:r>
          </w:p>
        </w:tc>
        <w:tc>
          <w:tcPr>
            <w:tcW w:w="6228" w:type="dxa"/>
            <w:shd w:val="clear" w:color="auto" w:fill="auto"/>
            <w:vAlign w:val="center"/>
          </w:tcPr>
          <w:p>
            <w:pPr>
              <w:widowControl/>
              <w:jc w:val="left"/>
              <w:textAlignment w:val="top"/>
              <w:rPr>
                <w:rFonts w:ascii="宋体" w:hAnsi="宋体" w:cs="宋体"/>
                <w:color w:val="000000"/>
                <w:kern w:val="0"/>
                <w:sz w:val="24"/>
              </w:rPr>
            </w:pPr>
            <w:r>
              <w:rPr>
                <w:rFonts w:hint="eastAsia" w:ascii="宋体" w:hAnsi="宋体" w:cs="宋体"/>
                <w:color w:val="000000"/>
                <w:kern w:val="0"/>
                <w:sz w:val="24"/>
              </w:rPr>
              <w:t>头戴、领夹式</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系统指标:</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频率范围：740 790MHz</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调制方式：宽带FM</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可调范围：50MHz</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信道数量：200</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信道间隔：250KHz</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频率稳定度：±0.005%以内</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动态范围：90dB</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调制频偏：±45KHz</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音频响应：80Hz～15KHz</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综合信噪比：&gt;95dB</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综合失真：≤0.5%</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工作温度：-10℃～+40℃</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接收机方式：二次变频超外差</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中频频率：一中频：110MHz,</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二中频: 10.7MHz</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无线接口：TNC/50Ω</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灵敏度：12 dBμV (80dBS/N)</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灵敏度调节范围：12-32 dBμV</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杂散抑制：≥75dB</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音平输出电平：0dBV</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接收机指标：</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输出功率：高功率10mW；低功率3mW</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杂散抑制：-60dB</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供电：两节AA 电池</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使用时间： 10mW 时大于10个小时,</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3mW 时大于15小时</w:t>
            </w:r>
          </w:p>
        </w:tc>
        <w:tc>
          <w:tcPr>
            <w:tcW w:w="62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515"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423" w:type="dxa"/>
            <w:shd w:val="clear" w:color="000000" w:fill="FFFFFF"/>
            <w:vAlign w:val="center"/>
          </w:tcPr>
          <w:p>
            <w:pPr>
              <w:widowControl/>
              <w:ind w:left="-107" w:leftChars="-51" w:firstLine="144" w:firstLineChars="60"/>
              <w:jc w:val="left"/>
              <w:rPr>
                <w:rFonts w:ascii="宋体" w:hAnsi="宋体" w:cs="宋体"/>
                <w:color w:val="000000"/>
                <w:kern w:val="0"/>
                <w:sz w:val="24"/>
              </w:rPr>
            </w:pPr>
            <w:r>
              <w:rPr>
                <w:rFonts w:hint="eastAsia" w:ascii="宋体" w:hAnsi="宋体" w:cs="宋体"/>
                <w:color w:val="000000"/>
                <w:kern w:val="0"/>
                <w:sz w:val="24"/>
              </w:rPr>
              <w:t>8个教室各1套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1153"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无线投屏器</w:t>
            </w:r>
          </w:p>
        </w:tc>
        <w:tc>
          <w:tcPr>
            <w:tcW w:w="6228" w:type="dxa"/>
            <w:shd w:val="clear" w:color="auto" w:fill="auto"/>
            <w:vAlign w:val="center"/>
          </w:tcPr>
          <w:p>
            <w:pPr>
              <w:widowControl/>
              <w:jc w:val="left"/>
              <w:textAlignment w:val="top"/>
              <w:rPr>
                <w:rFonts w:ascii="宋体" w:hAnsi="宋体" w:cs="宋体"/>
                <w:color w:val="000000"/>
                <w:kern w:val="0"/>
                <w:sz w:val="24"/>
              </w:rPr>
            </w:pPr>
            <w:r>
              <w:rPr>
                <w:rFonts w:hint="eastAsia" w:ascii="宋体" w:hAnsi="宋体" w:cs="宋体"/>
                <w:color w:val="000000"/>
                <w:kern w:val="0"/>
                <w:sz w:val="24"/>
              </w:rPr>
              <w:t>1、一发二收，即插即用</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2、HDMI信号4K高清输出</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3、支持HDMI+VGA双屏输出</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4、支持2.4G/5G双频</w:t>
            </w:r>
          </w:p>
        </w:tc>
        <w:tc>
          <w:tcPr>
            <w:tcW w:w="62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515"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423" w:type="dxa"/>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8个教室各1套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1153"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无线投屏器</w:t>
            </w:r>
          </w:p>
        </w:tc>
        <w:tc>
          <w:tcPr>
            <w:tcW w:w="6228" w:type="dxa"/>
            <w:shd w:val="clear" w:color="auto" w:fill="auto"/>
            <w:vAlign w:val="center"/>
          </w:tcPr>
          <w:p>
            <w:pPr>
              <w:widowControl/>
              <w:jc w:val="left"/>
              <w:textAlignment w:val="top"/>
              <w:rPr>
                <w:rFonts w:ascii="宋体" w:hAnsi="宋体" w:cs="宋体"/>
                <w:color w:val="000000"/>
                <w:kern w:val="0"/>
                <w:sz w:val="24"/>
              </w:rPr>
            </w:pPr>
            <w:r>
              <w:rPr>
                <w:rFonts w:hint="eastAsia" w:ascii="宋体" w:hAnsi="宋体" w:cs="宋体"/>
                <w:color w:val="000000"/>
                <w:kern w:val="0"/>
                <w:sz w:val="24"/>
              </w:rPr>
              <w:t>1、一发三收，即插即用</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2、HDMI信号4K高清输出</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3、支持HDMI+VGA双屏输出</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4、支持2.4G/5G双频</w:t>
            </w:r>
          </w:p>
        </w:tc>
        <w:tc>
          <w:tcPr>
            <w:tcW w:w="62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515"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423" w:type="dxa"/>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原铁板烧、花艺教室、咖啡教室各1套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18</w:t>
            </w:r>
          </w:p>
        </w:tc>
        <w:tc>
          <w:tcPr>
            <w:tcW w:w="1153"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音箱</w:t>
            </w:r>
          </w:p>
        </w:tc>
        <w:tc>
          <w:tcPr>
            <w:tcW w:w="6228" w:type="dxa"/>
            <w:shd w:val="clear" w:color="auto" w:fill="auto"/>
            <w:vAlign w:val="center"/>
          </w:tcPr>
          <w:p>
            <w:pPr>
              <w:widowControl/>
              <w:jc w:val="left"/>
              <w:textAlignment w:val="top"/>
              <w:rPr>
                <w:rFonts w:ascii="宋体" w:hAnsi="宋体" w:cs="宋体"/>
                <w:color w:val="000000"/>
                <w:kern w:val="0"/>
                <w:sz w:val="24"/>
              </w:rPr>
            </w:pPr>
            <w:r>
              <w:rPr>
                <w:rFonts w:hint="eastAsia" w:ascii="宋体" w:hAnsi="宋体" w:cs="宋体"/>
                <w:color w:val="000000"/>
                <w:kern w:val="0"/>
                <w:sz w:val="24"/>
              </w:rPr>
              <w:t>1.额定输出功率：2×25W</w:t>
            </w:r>
            <w:r>
              <w:rPr>
                <w:rFonts w:hint="eastAsia" w:ascii="宋体" w:hAnsi="宋体" w:cs="宋体"/>
                <w:color w:val="000000"/>
                <w:kern w:val="0"/>
                <w:sz w:val="24"/>
              </w:rPr>
              <w:br w:type="textWrapping"/>
            </w:r>
            <w:r>
              <w:rPr>
                <w:rFonts w:hint="eastAsia" w:ascii="宋体" w:hAnsi="宋体" w:cs="宋体"/>
                <w:color w:val="000000"/>
                <w:kern w:val="0"/>
                <w:sz w:val="24"/>
              </w:rPr>
              <w:t>2.输出阻抗：4-8Ω</w:t>
            </w:r>
            <w:r>
              <w:rPr>
                <w:rFonts w:hint="eastAsia" w:ascii="宋体" w:hAnsi="宋体" w:cs="宋体"/>
                <w:color w:val="000000"/>
                <w:kern w:val="0"/>
                <w:sz w:val="24"/>
              </w:rPr>
              <w:br w:type="textWrapping"/>
            </w:r>
            <w:r>
              <w:rPr>
                <w:rFonts w:hint="eastAsia" w:ascii="宋体" w:hAnsi="宋体" w:cs="宋体"/>
                <w:color w:val="000000"/>
                <w:kern w:val="0"/>
                <w:sz w:val="24"/>
              </w:rPr>
              <w:t>3.输入灵敏度：AUX  IN ：350Mv±20MV/10KΩ；MIC ：5MV±0.5MV</w:t>
            </w:r>
            <w:r>
              <w:rPr>
                <w:rFonts w:hint="eastAsia" w:ascii="宋体" w:hAnsi="宋体" w:cs="宋体"/>
                <w:color w:val="000000"/>
                <w:kern w:val="0"/>
                <w:sz w:val="24"/>
              </w:rPr>
              <w:br w:type="textWrapping"/>
            </w:r>
            <w:r>
              <w:rPr>
                <w:rFonts w:hint="eastAsia" w:ascii="宋体" w:hAnsi="宋体" w:cs="宋体"/>
                <w:color w:val="000000"/>
                <w:kern w:val="0"/>
                <w:sz w:val="24"/>
              </w:rPr>
              <w:t>4.信噪比：≥70dB</w:t>
            </w:r>
            <w:r>
              <w:rPr>
                <w:rFonts w:hint="eastAsia" w:ascii="宋体" w:hAnsi="宋体" w:cs="宋体"/>
                <w:color w:val="000000"/>
                <w:kern w:val="0"/>
                <w:sz w:val="24"/>
              </w:rPr>
              <w:br w:type="textWrapping"/>
            </w:r>
            <w:r>
              <w:rPr>
                <w:rFonts w:hint="eastAsia" w:ascii="宋体" w:hAnsi="宋体" w:cs="宋体"/>
                <w:color w:val="000000"/>
                <w:kern w:val="0"/>
                <w:sz w:val="24"/>
              </w:rPr>
              <w:t>5.频率响应：40Hz~20KHz(≤±3dB)</w:t>
            </w:r>
            <w:r>
              <w:rPr>
                <w:rFonts w:hint="eastAsia" w:ascii="宋体" w:hAnsi="宋体" w:cs="宋体"/>
                <w:color w:val="000000"/>
                <w:kern w:val="0"/>
                <w:sz w:val="24"/>
              </w:rPr>
              <w:br w:type="textWrapping"/>
            </w:r>
            <w:r>
              <w:rPr>
                <w:rFonts w:hint="eastAsia" w:ascii="宋体" w:hAnsi="宋体" w:cs="宋体"/>
                <w:color w:val="000000"/>
                <w:kern w:val="0"/>
                <w:sz w:val="24"/>
              </w:rPr>
              <w:t>6.线路输出：1V</w:t>
            </w:r>
            <w:r>
              <w:rPr>
                <w:rFonts w:hint="eastAsia" w:ascii="宋体" w:hAnsi="宋体" w:cs="宋体"/>
                <w:color w:val="000000"/>
                <w:kern w:val="0"/>
                <w:sz w:val="24"/>
              </w:rPr>
              <w:br w:type="textWrapping"/>
            </w:r>
            <w:r>
              <w:rPr>
                <w:rFonts w:hint="eastAsia" w:ascii="宋体" w:hAnsi="宋体" w:cs="宋体"/>
                <w:color w:val="000000"/>
                <w:kern w:val="0"/>
                <w:sz w:val="24"/>
              </w:rPr>
              <w:t>7.音量调节：1个MIC 音量，1个AUX音量</w:t>
            </w:r>
            <w:r>
              <w:rPr>
                <w:rFonts w:hint="eastAsia" w:ascii="宋体" w:hAnsi="宋体" w:cs="宋体"/>
                <w:color w:val="000000"/>
                <w:kern w:val="0"/>
                <w:sz w:val="24"/>
              </w:rPr>
              <w:br w:type="textWrapping"/>
            </w:r>
            <w:r>
              <w:rPr>
                <w:rFonts w:hint="eastAsia" w:ascii="宋体" w:hAnsi="宋体" w:cs="宋体"/>
                <w:color w:val="000000"/>
                <w:kern w:val="0"/>
                <w:sz w:val="24"/>
              </w:rPr>
              <w:t>8.谐波失真：≤1%</w:t>
            </w:r>
            <w:r>
              <w:rPr>
                <w:rFonts w:hint="eastAsia" w:ascii="宋体" w:hAnsi="宋体" w:cs="宋体"/>
                <w:color w:val="000000"/>
                <w:kern w:val="0"/>
                <w:sz w:val="24"/>
              </w:rPr>
              <w:br w:type="textWrapping"/>
            </w:r>
            <w:r>
              <w:rPr>
                <w:rFonts w:hint="eastAsia" w:ascii="宋体" w:hAnsi="宋体" w:cs="宋体"/>
                <w:color w:val="000000"/>
                <w:kern w:val="0"/>
                <w:sz w:val="24"/>
              </w:rPr>
              <w:t>9.工作温度：-10℃～+45℃</w:t>
            </w:r>
            <w:r>
              <w:rPr>
                <w:rFonts w:hint="eastAsia" w:ascii="宋体" w:hAnsi="宋体" w:cs="宋体"/>
                <w:color w:val="000000"/>
                <w:kern w:val="0"/>
                <w:sz w:val="24"/>
              </w:rPr>
              <w:br w:type="textWrapping"/>
            </w:r>
            <w:r>
              <w:rPr>
                <w:rFonts w:hint="eastAsia" w:ascii="宋体" w:hAnsi="宋体" w:cs="宋体"/>
                <w:color w:val="000000"/>
                <w:kern w:val="0"/>
                <w:sz w:val="24"/>
              </w:rPr>
              <w:t>10.工作湿度：20%～80%相对湿度，无结露</w:t>
            </w:r>
            <w:r>
              <w:rPr>
                <w:rFonts w:hint="eastAsia" w:ascii="宋体" w:hAnsi="宋体" w:cs="宋体"/>
                <w:color w:val="000000"/>
                <w:kern w:val="0"/>
                <w:sz w:val="24"/>
              </w:rPr>
              <w:br w:type="textWrapping"/>
            </w:r>
            <w:r>
              <w:rPr>
                <w:rFonts w:hint="eastAsia" w:ascii="宋体" w:hAnsi="宋体" w:cs="宋体"/>
                <w:color w:val="000000"/>
                <w:kern w:val="0"/>
                <w:sz w:val="24"/>
              </w:rPr>
              <w:t>11.电源功耗：≤60W</w:t>
            </w:r>
            <w:r>
              <w:rPr>
                <w:rFonts w:hint="eastAsia" w:ascii="宋体" w:hAnsi="宋体" w:cs="宋体"/>
                <w:color w:val="000000"/>
                <w:kern w:val="0"/>
                <w:sz w:val="24"/>
              </w:rPr>
              <w:br w:type="textWrapping"/>
            </w:r>
            <w:r>
              <w:rPr>
                <w:rFonts w:hint="eastAsia" w:ascii="宋体" w:hAnsi="宋体" w:cs="宋体"/>
                <w:color w:val="000000"/>
                <w:kern w:val="0"/>
                <w:sz w:val="24"/>
              </w:rPr>
              <w:t>12.供电电压：～110V-240V 50Hz-60Hz</w:t>
            </w:r>
            <w:r>
              <w:rPr>
                <w:rFonts w:hint="eastAsia" w:ascii="宋体" w:hAnsi="宋体" w:cs="宋体"/>
                <w:color w:val="000000"/>
                <w:kern w:val="0"/>
                <w:sz w:val="24"/>
              </w:rPr>
              <w:br w:type="textWrapping"/>
            </w:r>
            <w:r>
              <w:rPr>
                <w:rFonts w:hint="eastAsia" w:ascii="宋体" w:hAnsi="宋体" w:cs="宋体"/>
                <w:color w:val="000000"/>
                <w:kern w:val="0"/>
                <w:sz w:val="24"/>
              </w:rPr>
              <w:t>13.尺寸（W×H×D）mm：162×240×225</w:t>
            </w:r>
          </w:p>
        </w:tc>
        <w:tc>
          <w:tcPr>
            <w:tcW w:w="62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只</w:t>
            </w:r>
          </w:p>
        </w:tc>
        <w:tc>
          <w:tcPr>
            <w:tcW w:w="515"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1423" w:type="dxa"/>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8个教室各2只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19</w:t>
            </w:r>
          </w:p>
        </w:tc>
        <w:tc>
          <w:tcPr>
            <w:tcW w:w="1153"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电源时序器</w:t>
            </w:r>
          </w:p>
        </w:tc>
        <w:tc>
          <w:tcPr>
            <w:tcW w:w="6228" w:type="dxa"/>
            <w:shd w:val="clear" w:color="auto" w:fill="auto"/>
            <w:vAlign w:val="center"/>
          </w:tcPr>
          <w:p>
            <w:pPr>
              <w:widowControl/>
              <w:jc w:val="left"/>
              <w:rPr>
                <w:rFonts w:ascii="宋体" w:hAnsi="宋体" w:cs="宋体"/>
                <w:color w:val="000000"/>
                <w:sz w:val="24"/>
              </w:rPr>
            </w:pPr>
            <w:r>
              <w:rPr>
                <w:rFonts w:hint="eastAsia" w:ascii="宋体" w:hAnsi="宋体" w:cs="宋体"/>
                <w:color w:val="000000"/>
                <w:sz w:val="24"/>
              </w:rPr>
              <w:t xml:space="preserve">具有过载短路保护功能 </w:t>
            </w:r>
          </w:p>
          <w:p>
            <w:pPr>
              <w:widowControl/>
              <w:jc w:val="left"/>
              <w:rPr>
                <w:rFonts w:ascii="宋体" w:hAnsi="宋体" w:cs="宋体"/>
                <w:color w:val="000000"/>
                <w:sz w:val="24"/>
              </w:rPr>
            </w:pPr>
            <w:r>
              <w:rPr>
                <w:rFonts w:hint="eastAsia" w:ascii="宋体" w:hAnsi="宋体" w:cs="宋体"/>
                <w:color w:val="000000"/>
                <w:sz w:val="24"/>
              </w:rPr>
              <w:t xml:space="preserve">采用高性能压敏电阻防止雷击，损坏设备 </w:t>
            </w:r>
          </w:p>
          <w:p>
            <w:pPr>
              <w:widowControl/>
              <w:jc w:val="left"/>
              <w:rPr>
                <w:rFonts w:ascii="宋体" w:hAnsi="宋体" w:cs="宋体"/>
                <w:color w:val="000000"/>
                <w:sz w:val="24"/>
              </w:rPr>
            </w:pPr>
            <w:r>
              <w:rPr>
                <w:rFonts w:hint="eastAsia" w:ascii="宋体" w:hAnsi="宋体" w:cs="宋体"/>
                <w:color w:val="000000"/>
                <w:sz w:val="24"/>
              </w:rPr>
              <w:t xml:space="preserve">抗干扰性 </w:t>
            </w:r>
          </w:p>
          <w:p>
            <w:pPr>
              <w:widowControl/>
              <w:jc w:val="left"/>
              <w:rPr>
                <w:rFonts w:ascii="宋体" w:hAnsi="宋体" w:cs="宋体"/>
                <w:color w:val="000000"/>
                <w:sz w:val="24"/>
              </w:rPr>
            </w:pPr>
            <w:r>
              <w:rPr>
                <w:rFonts w:hint="eastAsia" w:ascii="宋体" w:hAnsi="宋体" w:cs="宋体"/>
                <w:color w:val="000000"/>
                <w:sz w:val="24"/>
              </w:rPr>
              <w:t xml:space="preserve">内置高性能滤波器，有效防止市电对设备的干扰 </w:t>
            </w:r>
          </w:p>
          <w:p>
            <w:pPr>
              <w:widowControl/>
              <w:jc w:val="left"/>
              <w:rPr>
                <w:rFonts w:ascii="宋体" w:hAnsi="宋体" w:cs="宋体"/>
                <w:color w:val="000000"/>
                <w:sz w:val="24"/>
              </w:rPr>
            </w:pPr>
            <w:r>
              <w:rPr>
                <w:rFonts w:hint="eastAsia" w:ascii="宋体" w:hAnsi="宋体" w:cs="宋体"/>
                <w:color w:val="000000"/>
                <w:sz w:val="24"/>
              </w:rPr>
              <w:t xml:space="preserve">工作电压 单相220 V 50 Hz或60 Hz </w:t>
            </w:r>
          </w:p>
          <w:p>
            <w:pPr>
              <w:widowControl/>
              <w:jc w:val="left"/>
              <w:rPr>
                <w:rFonts w:ascii="宋体" w:hAnsi="宋体" w:cs="宋体"/>
                <w:color w:val="000000"/>
                <w:sz w:val="24"/>
              </w:rPr>
            </w:pPr>
            <w:r>
              <w:rPr>
                <w:rFonts w:hint="eastAsia" w:ascii="宋体" w:hAnsi="宋体" w:cs="宋体"/>
                <w:color w:val="000000"/>
                <w:sz w:val="24"/>
              </w:rPr>
              <w:t xml:space="preserve">时序通道 8对独立控制的时序通道 </w:t>
            </w:r>
          </w:p>
          <w:p>
            <w:pPr>
              <w:widowControl/>
              <w:jc w:val="left"/>
              <w:rPr>
                <w:rFonts w:ascii="宋体" w:hAnsi="宋体" w:cs="宋体"/>
                <w:color w:val="000000"/>
                <w:sz w:val="24"/>
              </w:rPr>
            </w:pPr>
            <w:r>
              <w:rPr>
                <w:rFonts w:hint="eastAsia" w:ascii="宋体" w:hAnsi="宋体" w:cs="宋体"/>
                <w:color w:val="000000"/>
                <w:sz w:val="24"/>
              </w:rPr>
              <w:t xml:space="preserve">延时时间 默认2秒(0-999秒可调) </w:t>
            </w:r>
          </w:p>
          <w:p>
            <w:pPr>
              <w:widowControl/>
              <w:jc w:val="left"/>
              <w:rPr>
                <w:rFonts w:ascii="宋体" w:hAnsi="宋体" w:cs="宋体"/>
                <w:color w:val="000000"/>
                <w:sz w:val="24"/>
              </w:rPr>
            </w:pPr>
            <w:r>
              <w:rPr>
                <w:rFonts w:hint="eastAsia" w:ascii="宋体" w:hAnsi="宋体" w:cs="宋体"/>
                <w:color w:val="000000"/>
                <w:sz w:val="24"/>
              </w:rPr>
              <w:t xml:space="preserve">电源输出 单相总极限电流100 A </w:t>
            </w:r>
          </w:p>
          <w:p>
            <w:pPr>
              <w:widowControl/>
              <w:jc w:val="left"/>
              <w:rPr>
                <w:rFonts w:ascii="宋体" w:hAnsi="宋体" w:cs="宋体"/>
                <w:color w:val="000000"/>
                <w:sz w:val="24"/>
              </w:rPr>
            </w:pPr>
            <w:r>
              <w:rPr>
                <w:rFonts w:hint="eastAsia" w:ascii="宋体" w:hAnsi="宋体" w:cs="宋体"/>
                <w:color w:val="000000"/>
                <w:sz w:val="24"/>
              </w:rPr>
              <w:t xml:space="preserve">在音频负载情况下，每路极限总电流 30 A </w:t>
            </w:r>
          </w:p>
          <w:p>
            <w:pPr>
              <w:widowControl/>
              <w:jc w:val="left"/>
              <w:rPr>
                <w:rFonts w:ascii="宋体" w:hAnsi="宋体" w:cs="宋体"/>
                <w:color w:val="000000"/>
                <w:sz w:val="24"/>
              </w:rPr>
            </w:pPr>
            <w:r>
              <w:rPr>
                <w:rFonts w:hint="eastAsia" w:ascii="宋体" w:hAnsi="宋体" w:cs="宋体"/>
                <w:color w:val="000000"/>
                <w:sz w:val="24"/>
              </w:rPr>
              <w:t xml:space="preserve">在纯电阻负载情况下，每路极限总电流 13 A </w:t>
            </w:r>
          </w:p>
          <w:p>
            <w:pPr>
              <w:widowControl/>
              <w:jc w:val="left"/>
              <w:rPr>
                <w:rFonts w:ascii="宋体" w:hAnsi="宋体" w:cs="宋体"/>
                <w:color w:val="000000"/>
                <w:kern w:val="0"/>
                <w:sz w:val="24"/>
              </w:rPr>
            </w:pPr>
            <w:r>
              <w:rPr>
                <w:rFonts w:hint="eastAsia" w:ascii="宋体" w:hAnsi="宋体" w:cs="宋体"/>
                <w:color w:val="000000"/>
                <w:sz w:val="24"/>
              </w:rPr>
              <w:t>装机高度 1 U</w:t>
            </w:r>
          </w:p>
        </w:tc>
        <w:tc>
          <w:tcPr>
            <w:tcW w:w="62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515"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423" w:type="dxa"/>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烹饪基地西餐实训室、烹饪基地中西面点实训室各1个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1153"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辅材及安装调试等</w:t>
            </w:r>
          </w:p>
        </w:tc>
        <w:tc>
          <w:tcPr>
            <w:tcW w:w="6228" w:type="dxa"/>
            <w:shd w:val="clear" w:color="auto" w:fill="auto"/>
            <w:vAlign w:val="center"/>
          </w:tcPr>
          <w:p>
            <w:pPr>
              <w:widowControl/>
              <w:jc w:val="left"/>
              <w:textAlignment w:val="top"/>
              <w:rPr>
                <w:rFonts w:ascii="宋体" w:hAnsi="宋体" w:cs="宋体"/>
                <w:color w:val="000000"/>
                <w:kern w:val="0"/>
                <w:sz w:val="24"/>
              </w:rPr>
            </w:pPr>
            <w:r>
              <w:rPr>
                <w:rFonts w:hint="eastAsia" w:ascii="宋体" w:hAnsi="宋体" w:cs="宋体"/>
                <w:color w:val="000000"/>
                <w:kern w:val="0"/>
                <w:sz w:val="24"/>
              </w:rPr>
              <w:t>SDI线、HDMI线、视频线、电源线、电源线总线、音频线、空开、PVC穿线管、网络布线（8个教室布网线到机房）、安装调试、搬运、培训、保修费等</w:t>
            </w:r>
          </w:p>
        </w:tc>
        <w:tc>
          <w:tcPr>
            <w:tcW w:w="62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w:t>
            </w:r>
          </w:p>
        </w:tc>
        <w:tc>
          <w:tcPr>
            <w:tcW w:w="515"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423" w:type="dxa"/>
            <w:shd w:val="clear" w:color="000000" w:fill="FFFFFF"/>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21</w:t>
            </w:r>
          </w:p>
        </w:tc>
        <w:tc>
          <w:tcPr>
            <w:tcW w:w="1153"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专用防雷PDU</w:t>
            </w:r>
          </w:p>
        </w:tc>
        <w:tc>
          <w:tcPr>
            <w:tcW w:w="6228" w:type="dxa"/>
            <w:shd w:val="clear" w:color="auto" w:fill="auto"/>
            <w:vAlign w:val="center"/>
          </w:tcPr>
          <w:p>
            <w:pPr>
              <w:widowControl/>
              <w:jc w:val="left"/>
              <w:textAlignment w:val="top"/>
              <w:rPr>
                <w:rFonts w:ascii="宋体" w:hAnsi="宋体" w:cs="宋体"/>
                <w:color w:val="000000"/>
                <w:kern w:val="0"/>
                <w:sz w:val="24"/>
              </w:rPr>
            </w:pPr>
            <w:r>
              <w:rPr>
                <w:rFonts w:hint="eastAsia" w:ascii="宋体" w:hAnsi="宋体" w:cs="宋体"/>
                <w:color w:val="000000"/>
                <w:kern w:val="0"/>
                <w:sz w:val="24"/>
              </w:rPr>
              <w:t>带防雷功能</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额定电压：250V</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额定电流：16A</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额定功率：4000W</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产品安装高度：1U</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线规格：1.8mx1.5²mm线径</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执行标准</w:t>
            </w:r>
          </w:p>
          <w:p>
            <w:pPr>
              <w:widowControl/>
              <w:jc w:val="left"/>
              <w:textAlignment w:val="top"/>
              <w:rPr>
                <w:rFonts w:ascii="宋体" w:hAnsi="宋体" w:cs="宋体"/>
                <w:color w:val="000000"/>
                <w:kern w:val="0"/>
                <w:sz w:val="24"/>
              </w:rPr>
            </w:pPr>
            <w:r>
              <w:rPr>
                <w:rFonts w:hint="eastAsia" w:ascii="宋体" w:hAnsi="宋体" w:cs="宋体"/>
                <w:color w:val="000000"/>
                <w:kern w:val="0"/>
                <w:sz w:val="24"/>
              </w:rPr>
              <w:t>GB/T2099.7-2015</w:t>
            </w:r>
          </w:p>
        </w:tc>
        <w:tc>
          <w:tcPr>
            <w:tcW w:w="62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515" w:type="dxa"/>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1423" w:type="dxa"/>
            <w:shd w:val="clear" w:color="000000" w:fill="FFFFFF"/>
            <w:vAlign w:val="center"/>
          </w:tcPr>
          <w:p>
            <w:pPr>
              <w:widowControl/>
              <w:jc w:val="left"/>
              <w:rPr>
                <w:rFonts w:ascii="宋体" w:hAnsi="宋体" w:cs="宋体"/>
                <w:color w:val="000000"/>
                <w:kern w:val="0"/>
                <w:sz w:val="24"/>
              </w:rPr>
            </w:pPr>
          </w:p>
        </w:tc>
      </w:tr>
    </w:tbl>
    <w:p>
      <w:pPr>
        <w:widowControl/>
        <w:jc w:val="left"/>
        <w:textAlignment w:val="center"/>
        <w:rPr>
          <w:rFonts w:ascii="宋体" w:hAnsi="宋体" w:cs="宋体"/>
          <w:b/>
          <w:bCs/>
          <w:color w:val="000000"/>
          <w:kern w:val="0"/>
          <w:sz w:val="24"/>
        </w:rPr>
      </w:pPr>
      <w:r>
        <w:rPr>
          <w:rFonts w:hint="eastAsia" w:ascii="宋体" w:hAnsi="宋体" w:cs="宋体"/>
          <w:b/>
          <w:bCs/>
          <w:color w:val="000000"/>
          <w:kern w:val="0"/>
          <w:sz w:val="24"/>
        </w:rPr>
        <w:t>二、商务条款</w:t>
      </w:r>
    </w:p>
    <w:p>
      <w:pPr>
        <w:spacing w:line="420" w:lineRule="exact"/>
        <w:ind w:firstLine="420"/>
        <w:rPr>
          <w:rFonts w:ascii="宋体" w:hAnsi="宋体" w:cs="宋体"/>
          <w:sz w:val="24"/>
        </w:rPr>
      </w:pPr>
      <w:r>
        <w:rPr>
          <w:rFonts w:hint="eastAsia" w:ascii="宋体" w:hAnsi="宋体" w:cs="宋体"/>
          <w:sz w:val="24"/>
        </w:rPr>
        <w:t>1、中标单位需与使用部门进行充分沟通，确保设备参数与现有设备设施能够兼容（采购单位无偿提供相关接口）。</w:t>
      </w:r>
    </w:p>
    <w:p>
      <w:pPr>
        <w:spacing w:line="420" w:lineRule="exact"/>
        <w:ind w:firstLine="420"/>
        <w:rPr>
          <w:rFonts w:ascii="宋体" w:hAnsi="宋体" w:cs="宋体"/>
          <w:sz w:val="24"/>
        </w:rPr>
      </w:pPr>
      <w:r>
        <w:rPr>
          <w:rFonts w:hint="eastAsia" w:ascii="宋体" w:hAnsi="宋体" w:cs="宋体"/>
          <w:sz w:val="24"/>
        </w:rPr>
        <w:t>2、本次招标设备为专业实训设备，设备质量及性能非常重要，投标人必须承诺在中标结果公布之日起三日内提供全套证明材料到最终用户处，如若逾期提交的视为自动放弃中标资格；样机经测试满足招标技术要求，方能签订正式合同，如不能满足招标技术要求的，视为虚假应标，采购方有权申请取消该中标结果，并上报政府采购监管部门。若造成采购方损失，采购方有权要求该中标单位赔偿损失。</w:t>
      </w:r>
    </w:p>
    <w:p>
      <w:pPr>
        <w:spacing w:line="420" w:lineRule="exact"/>
        <w:ind w:firstLine="420"/>
        <w:rPr>
          <w:rFonts w:ascii="宋体" w:hAnsi="宋体" w:cs="宋体"/>
          <w:sz w:val="24"/>
        </w:rPr>
      </w:pPr>
      <w:r>
        <w:rPr>
          <w:rFonts w:hint="eastAsia" w:ascii="宋体" w:hAnsi="宋体" w:cs="宋体"/>
          <w:sz w:val="24"/>
        </w:rPr>
        <w:t>3、交货日期：签订合同之日起60日内完成。</w:t>
      </w:r>
    </w:p>
    <w:p>
      <w:pPr>
        <w:spacing w:line="420" w:lineRule="exact"/>
        <w:ind w:firstLine="420"/>
        <w:rPr>
          <w:rFonts w:ascii="宋体" w:hAnsi="宋体" w:cs="宋体"/>
          <w:sz w:val="24"/>
        </w:rPr>
      </w:pPr>
      <w:r>
        <w:rPr>
          <w:rFonts w:hint="eastAsia" w:ascii="宋体" w:hAnsi="宋体" w:cs="宋体"/>
          <w:sz w:val="24"/>
        </w:rPr>
        <w:t>4、交货地点：采购人指定地址。</w:t>
      </w:r>
    </w:p>
    <w:p>
      <w:pPr>
        <w:spacing w:line="420" w:lineRule="exact"/>
        <w:ind w:firstLine="420"/>
        <w:rPr>
          <w:rFonts w:ascii="宋体" w:hAnsi="宋体" w:cs="宋体"/>
          <w:sz w:val="24"/>
        </w:rPr>
      </w:pPr>
      <w:r>
        <w:rPr>
          <w:rFonts w:hint="eastAsia" w:ascii="宋体" w:hAnsi="宋体" w:cs="宋体"/>
          <w:sz w:val="24"/>
        </w:rPr>
        <w:t xml:space="preserve">5、如发生投标人中标后违约不履行义务或不能够提供相关资料的，采购人将按规定上报有关部门，依法作出处理，同时采购人保留追究其法律责任的权利。 </w:t>
      </w:r>
    </w:p>
    <w:p>
      <w:pPr>
        <w:spacing w:line="420" w:lineRule="exact"/>
        <w:ind w:firstLine="420"/>
        <w:rPr>
          <w:rFonts w:ascii="宋体" w:hAnsi="宋体" w:cs="宋体"/>
          <w:sz w:val="24"/>
        </w:rPr>
      </w:pPr>
      <w:r>
        <w:rPr>
          <w:rFonts w:hint="eastAsia" w:ascii="宋体" w:hAnsi="宋体" w:cs="宋体"/>
          <w:sz w:val="24"/>
        </w:rPr>
        <w:t>6、质保期：本次采购项目原厂质保不少于3年。</w:t>
      </w:r>
    </w:p>
    <w:p>
      <w:pPr>
        <w:spacing w:line="420" w:lineRule="exact"/>
        <w:ind w:firstLine="420"/>
        <w:rPr>
          <w:rFonts w:ascii="宋体" w:hAnsi="宋体" w:cs="宋体"/>
          <w:sz w:val="24"/>
        </w:rPr>
      </w:pPr>
      <w:r>
        <w:rPr>
          <w:rFonts w:hint="eastAsia" w:ascii="宋体" w:hAnsi="宋体" w:cs="宋体"/>
          <w:sz w:val="24"/>
        </w:rPr>
        <w:t>7、售后服务：出现故障等问题后，需1小时内快速响应问题，收到保修要求后4小时内到场维护，如有特殊情况不能到场，需征求用户同意。在质保期内投标方应免费上门对有质量问题的部件或设备进行安装、更换、调试，包括配件费，材料费，人工费等。</w:t>
      </w:r>
    </w:p>
    <w:p>
      <w:pPr>
        <w:spacing w:line="420" w:lineRule="exact"/>
        <w:ind w:firstLine="420"/>
        <w:rPr>
          <w:rFonts w:ascii="宋体" w:hAnsi="宋体" w:cs="宋体"/>
          <w:sz w:val="24"/>
        </w:rPr>
      </w:pPr>
      <w:r>
        <w:rPr>
          <w:rFonts w:hint="eastAsia" w:ascii="宋体" w:hAnsi="宋体" w:cs="宋体"/>
          <w:sz w:val="24"/>
        </w:rPr>
        <w:t>8、付款方式</w:t>
      </w:r>
    </w:p>
    <w:p>
      <w:pPr>
        <w:spacing w:line="420" w:lineRule="exact"/>
        <w:ind w:firstLine="420"/>
        <w:rPr>
          <w:rFonts w:ascii="宋体" w:hAnsi="宋体" w:cs="宋体"/>
          <w:sz w:val="24"/>
        </w:rPr>
      </w:pPr>
      <w:r>
        <w:rPr>
          <w:rFonts w:hint="eastAsia" w:ascii="宋体" w:hAnsi="宋体" w:cs="宋体"/>
          <w:sz w:val="24"/>
        </w:rPr>
        <w:t>合同生效且具备实施条件后支付合同金额的40%作为预付款，余款在项目验收合格后一次性支付完成。</w:t>
      </w:r>
    </w:p>
    <w:p>
      <w:pPr>
        <w:spacing w:line="420" w:lineRule="exact"/>
        <w:ind w:firstLine="420"/>
        <w:rPr>
          <w:rFonts w:ascii="宋体" w:hAnsi="宋体" w:cs="宋体"/>
          <w:szCs w:val="21"/>
        </w:rPr>
      </w:pPr>
      <w:r>
        <w:rPr>
          <w:rFonts w:hint="eastAsia" w:ascii="宋体" w:hAnsi="宋体" w:cs="宋体"/>
          <w:szCs w:val="21"/>
        </w:rPr>
        <w:br w:type="page"/>
      </w:r>
    </w:p>
    <w:p>
      <w:pPr>
        <w:spacing w:line="360" w:lineRule="auto"/>
        <w:jc w:val="center"/>
        <w:outlineLvl w:val="0"/>
        <w:rPr>
          <w:rFonts w:ascii="宋体" w:hAnsi="宋体" w:cs="宋体"/>
          <w:b/>
          <w:sz w:val="36"/>
          <w:szCs w:val="36"/>
        </w:rPr>
      </w:pPr>
      <w:r>
        <w:rPr>
          <w:rFonts w:hint="eastAsia" w:ascii="宋体" w:hAnsi="宋体" w:cs="宋体"/>
          <w:b/>
          <w:sz w:val="36"/>
          <w:szCs w:val="36"/>
        </w:rPr>
        <w:t xml:space="preserve">第四部分   </w:t>
      </w:r>
      <w:bookmarkStart w:id="31" w:name="_Toc184308070"/>
      <w:bookmarkEnd w:id="31"/>
      <w:bookmarkStart w:id="32" w:name="_Toc184312134"/>
      <w:bookmarkEnd w:id="32"/>
      <w:bookmarkStart w:id="33" w:name="_Toc184308072"/>
      <w:bookmarkEnd w:id="33"/>
      <w:bookmarkStart w:id="34" w:name="_Toc184313249"/>
      <w:bookmarkEnd w:id="34"/>
      <w:bookmarkStart w:id="35" w:name="_Toc184313241"/>
      <w:bookmarkEnd w:id="35"/>
      <w:bookmarkStart w:id="36" w:name="_Toc184308058"/>
      <w:bookmarkEnd w:id="36"/>
      <w:bookmarkStart w:id="37" w:name="_Toc184314425"/>
      <w:bookmarkEnd w:id="37"/>
      <w:bookmarkStart w:id="38" w:name="_Toc184308051"/>
      <w:bookmarkEnd w:id="38"/>
      <w:bookmarkStart w:id="39" w:name="_Toc184314413"/>
      <w:bookmarkEnd w:id="39"/>
      <w:bookmarkStart w:id="40" w:name="_Toc184314452"/>
      <w:bookmarkEnd w:id="40"/>
      <w:bookmarkStart w:id="41" w:name="_Toc184308055"/>
      <w:bookmarkEnd w:id="41"/>
      <w:bookmarkStart w:id="42" w:name="_Toc184314454"/>
      <w:bookmarkEnd w:id="42"/>
      <w:bookmarkStart w:id="43" w:name="_Toc184310309"/>
      <w:bookmarkEnd w:id="43"/>
      <w:bookmarkStart w:id="44" w:name="_Toc184313299"/>
      <w:bookmarkEnd w:id="44"/>
      <w:bookmarkStart w:id="45" w:name="_Toc184312117"/>
      <w:bookmarkEnd w:id="45"/>
      <w:bookmarkStart w:id="46" w:name="_Toc184314465"/>
      <w:bookmarkEnd w:id="46"/>
      <w:bookmarkStart w:id="47" w:name="_Toc184314469"/>
      <w:bookmarkEnd w:id="47"/>
      <w:bookmarkStart w:id="48" w:name="_Toc184310325"/>
      <w:bookmarkEnd w:id="48"/>
      <w:bookmarkStart w:id="49" w:name="_Toc184308075"/>
      <w:bookmarkEnd w:id="49"/>
      <w:bookmarkStart w:id="50" w:name="_Toc184313270"/>
      <w:bookmarkEnd w:id="50"/>
      <w:bookmarkStart w:id="51" w:name="_Toc184310335"/>
      <w:bookmarkEnd w:id="51"/>
      <w:bookmarkStart w:id="52" w:name="_Toc184314439"/>
      <w:bookmarkEnd w:id="52"/>
      <w:bookmarkStart w:id="53" w:name="_Toc184312114"/>
      <w:bookmarkEnd w:id="53"/>
      <w:bookmarkStart w:id="54" w:name="_Toc184312083"/>
      <w:bookmarkEnd w:id="54"/>
      <w:bookmarkStart w:id="55" w:name="_Toc184314455"/>
      <w:bookmarkEnd w:id="55"/>
      <w:bookmarkStart w:id="56" w:name="_Toc184312112"/>
      <w:bookmarkEnd w:id="56"/>
      <w:bookmarkStart w:id="57" w:name="_Toc184313242"/>
      <w:bookmarkEnd w:id="57"/>
      <w:bookmarkStart w:id="58" w:name="_Toc184312109"/>
      <w:bookmarkEnd w:id="58"/>
      <w:bookmarkStart w:id="59" w:name="_Toc184308087"/>
      <w:bookmarkEnd w:id="59"/>
      <w:bookmarkStart w:id="60" w:name="_Toc184313293"/>
      <w:bookmarkEnd w:id="60"/>
      <w:bookmarkStart w:id="61" w:name="_Toc184312119"/>
      <w:bookmarkEnd w:id="61"/>
      <w:bookmarkStart w:id="62" w:name="_Toc184308098"/>
      <w:bookmarkEnd w:id="62"/>
      <w:bookmarkStart w:id="63" w:name="_Toc184314479"/>
      <w:bookmarkEnd w:id="63"/>
      <w:bookmarkStart w:id="64" w:name="_Toc184313303"/>
      <w:bookmarkEnd w:id="64"/>
      <w:bookmarkStart w:id="65" w:name="_Toc184310286"/>
      <w:bookmarkEnd w:id="65"/>
      <w:bookmarkStart w:id="66" w:name="_Toc184308088"/>
      <w:bookmarkEnd w:id="66"/>
      <w:bookmarkStart w:id="67" w:name="_Toc184308064"/>
      <w:bookmarkEnd w:id="67"/>
      <w:bookmarkStart w:id="68" w:name="_Toc184313285"/>
      <w:bookmarkEnd w:id="68"/>
      <w:bookmarkStart w:id="69" w:name="_Toc184308068"/>
      <w:bookmarkEnd w:id="69"/>
      <w:bookmarkStart w:id="70" w:name="_Toc184313281"/>
      <w:bookmarkEnd w:id="70"/>
      <w:bookmarkStart w:id="71" w:name="_Toc184313287"/>
      <w:bookmarkEnd w:id="71"/>
      <w:bookmarkStart w:id="72" w:name="_Toc184312076"/>
      <w:bookmarkEnd w:id="72"/>
      <w:bookmarkStart w:id="73" w:name="_Toc184313257"/>
      <w:bookmarkEnd w:id="73"/>
      <w:bookmarkStart w:id="74" w:name="_Toc184312132"/>
      <w:bookmarkEnd w:id="74"/>
      <w:bookmarkStart w:id="75" w:name="_Toc184308065"/>
      <w:bookmarkEnd w:id="75"/>
      <w:bookmarkStart w:id="76" w:name="_Toc184312121"/>
      <w:bookmarkEnd w:id="76"/>
      <w:bookmarkStart w:id="77" w:name="_Toc184312106"/>
      <w:bookmarkEnd w:id="77"/>
      <w:bookmarkStart w:id="78" w:name="_Toc184313310"/>
      <w:bookmarkEnd w:id="78"/>
      <w:bookmarkStart w:id="79" w:name="_Toc184314468"/>
      <w:bookmarkEnd w:id="79"/>
      <w:bookmarkStart w:id="80" w:name="_Toc184312088"/>
      <w:bookmarkEnd w:id="80"/>
      <w:bookmarkStart w:id="81" w:name="_Toc184312124"/>
      <w:bookmarkEnd w:id="81"/>
      <w:bookmarkStart w:id="82" w:name="_Toc184310294"/>
      <w:bookmarkEnd w:id="82"/>
      <w:bookmarkStart w:id="83" w:name="_Toc184313278"/>
      <w:bookmarkEnd w:id="83"/>
      <w:bookmarkStart w:id="84" w:name="_Toc184313288"/>
      <w:bookmarkEnd w:id="84"/>
      <w:bookmarkStart w:id="85" w:name="_Toc184310310"/>
      <w:bookmarkEnd w:id="85"/>
      <w:bookmarkStart w:id="86" w:name="_Toc184314424"/>
      <w:bookmarkEnd w:id="86"/>
      <w:bookmarkStart w:id="87" w:name="_Toc184308078"/>
      <w:bookmarkEnd w:id="87"/>
      <w:bookmarkStart w:id="88" w:name="_Toc184312116"/>
      <w:bookmarkEnd w:id="88"/>
      <w:bookmarkStart w:id="89" w:name="_Toc184314464"/>
      <w:bookmarkEnd w:id="89"/>
      <w:bookmarkStart w:id="90" w:name="_Toc184314436"/>
      <w:bookmarkEnd w:id="90"/>
      <w:bookmarkStart w:id="91" w:name="_Toc184308073"/>
      <w:bookmarkEnd w:id="91"/>
      <w:bookmarkStart w:id="92" w:name="_Toc184312136"/>
      <w:bookmarkEnd w:id="92"/>
      <w:bookmarkStart w:id="93" w:name="_Toc184314476"/>
      <w:bookmarkEnd w:id="93"/>
      <w:bookmarkStart w:id="94" w:name="_Toc184310280"/>
      <w:bookmarkEnd w:id="94"/>
      <w:bookmarkStart w:id="95" w:name="_Toc184310308"/>
      <w:bookmarkEnd w:id="95"/>
      <w:bookmarkStart w:id="96" w:name="_Toc184308104"/>
      <w:bookmarkEnd w:id="96"/>
      <w:bookmarkStart w:id="97" w:name="_Toc184313296"/>
      <w:bookmarkEnd w:id="97"/>
      <w:bookmarkStart w:id="98" w:name="_Toc184312090"/>
      <w:bookmarkEnd w:id="98"/>
      <w:bookmarkStart w:id="99" w:name="_Toc184312125"/>
      <w:bookmarkEnd w:id="99"/>
      <w:bookmarkStart w:id="100" w:name="_Toc184310288"/>
      <w:bookmarkEnd w:id="100"/>
      <w:bookmarkStart w:id="101" w:name="_Toc184310295"/>
      <w:bookmarkEnd w:id="101"/>
      <w:bookmarkStart w:id="102" w:name="_Toc184313253"/>
      <w:bookmarkEnd w:id="102"/>
      <w:bookmarkStart w:id="103" w:name="_Toc184312094"/>
      <w:bookmarkEnd w:id="103"/>
      <w:bookmarkStart w:id="104" w:name="_Toc184314444"/>
      <w:bookmarkEnd w:id="104"/>
      <w:bookmarkStart w:id="105" w:name="_Toc184308090"/>
      <w:bookmarkEnd w:id="105"/>
      <w:bookmarkStart w:id="106" w:name="_Toc184312087"/>
      <w:bookmarkEnd w:id="106"/>
      <w:bookmarkStart w:id="107" w:name="_Toc184312137"/>
      <w:bookmarkEnd w:id="107"/>
      <w:bookmarkStart w:id="108" w:name="_Toc184314475"/>
      <w:bookmarkEnd w:id="108"/>
      <w:bookmarkStart w:id="109" w:name="_Toc184308048"/>
      <w:bookmarkEnd w:id="109"/>
      <w:bookmarkStart w:id="110" w:name="_Toc184312131"/>
      <w:bookmarkEnd w:id="110"/>
      <w:bookmarkStart w:id="111" w:name="_Toc184308047"/>
      <w:bookmarkEnd w:id="111"/>
      <w:bookmarkStart w:id="112" w:name="_Toc184313290"/>
      <w:bookmarkEnd w:id="112"/>
      <w:bookmarkStart w:id="113" w:name="_Toc184308101"/>
      <w:bookmarkEnd w:id="113"/>
      <w:bookmarkStart w:id="114" w:name="_Toc184308085"/>
      <w:bookmarkEnd w:id="114"/>
      <w:bookmarkStart w:id="115" w:name="_Toc184312068"/>
      <w:bookmarkEnd w:id="115"/>
      <w:bookmarkStart w:id="116" w:name="_Toc184310311"/>
      <w:bookmarkEnd w:id="116"/>
      <w:bookmarkStart w:id="117" w:name="_Toc184308102"/>
      <w:bookmarkEnd w:id="117"/>
      <w:bookmarkStart w:id="118" w:name="_Toc184312135"/>
      <w:bookmarkEnd w:id="118"/>
      <w:bookmarkStart w:id="119" w:name="_Toc184312130"/>
      <w:bookmarkEnd w:id="119"/>
      <w:bookmarkStart w:id="120" w:name="_Toc184308049"/>
      <w:bookmarkEnd w:id="120"/>
      <w:bookmarkStart w:id="121" w:name="_Toc184310322"/>
      <w:bookmarkEnd w:id="121"/>
      <w:bookmarkStart w:id="122" w:name="_Toc184314435"/>
      <w:bookmarkEnd w:id="122"/>
      <w:bookmarkStart w:id="123" w:name="_Toc184314480"/>
      <w:bookmarkEnd w:id="123"/>
      <w:bookmarkStart w:id="124" w:name="_Toc184312072"/>
      <w:bookmarkEnd w:id="124"/>
      <w:bookmarkStart w:id="125" w:name="_Toc184308107"/>
      <w:bookmarkEnd w:id="125"/>
      <w:bookmarkStart w:id="126" w:name="_Toc184312098"/>
      <w:bookmarkEnd w:id="126"/>
      <w:bookmarkStart w:id="127" w:name="_Toc184310317"/>
      <w:bookmarkEnd w:id="127"/>
      <w:bookmarkStart w:id="128" w:name="_Toc184314461"/>
      <w:bookmarkEnd w:id="128"/>
      <w:bookmarkStart w:id="129" w:name="_Toc184308056"/>
      <w:bookmarkEnd w:id="129"/>
      <w:bookmarkStart w:id="130" w:name="_Toc184310291"/>
      <w:bookmarkEnd w:id="130"/>
      <w:bookmarkStart w:id="131" w:name="_Toc184310337"/>
      <w:bookmarkEnd w:id="131"/>
      <w:bookmarkStart w:id="132" w:name="_Toc184310290"/>
      <w:bookmarkEnd w:id="132"/>
      <w:bookmarkStart w:id="133" w:name="_Toc184314419"/>
      <w:bookmarkEnd w:id="133"/>
      <w:bookmarkStart w:id="134" w:name="_Toc184308054"/>
      <w:bookmarkEnd w:id="134"/>
      <w:bookmarkStart w:id="135" w:name="_Toc184313276"/>
      <w:bookmarkEnd w:id="135"/>
      <w:bookmarkStart w:id="136" w:name="_Toc184308069"/>
      <w:bookmarkEnd w:id="136"/>
      <w:bookmarkStart w:id="137" w:name="_Toc184313248"/>
      <w:bookmarkEnd w:id="137"/>
      <w:bookmarkStart w:id="138" w:name="_Toc184314446"/>
      <w:bookmarkEnd w:id="138"/>
      <w:bookmarkStart w:id="139" w:name="_Toc184314417"/>
      <w:bookmarkEnd w:id="139"/>
      <w:bookmarkStart w:id="140" w:name="_Toc184308084"/>
      <w:bookmarkEnd w:id="140"/>
      <w:bookmarkStart w:id="141" w:name="_Toc184312097"/>
      <w:bookmarkEnd w:id="141"/>
      <w:bookmarkStart w:id="142" w:name="_Toc184308043"/>
      <w:bookmarkEnd w:id="142"/>
      <w:bookmarkStart w:id="143" w:name="_Toc184308091"/>
      <w:bookmarkEnd w:id="143"/>
      <w:bookmarkStart w:id="144" w:name="_Toc184308103"/>
      <w:bookmarkEnd w:id="144"/>
      <w:bookmarkStart w:id="145" w:name="_Toc184308057"/>
      <w:bookmarkEnd w:id="145"/>
      <w:bookmarkStart w:id="146" w:name="_Toc184310273"/>
      <w:bookmarkEnd w:id="146"/>
      <w:bookmarkStart w:id="147" w:name="_Toc184308037"/>
      <w:bookmarkEnd w:id="147"/>
      <w:bookmarkStart w:id="148" w:name="_Toc184310342"/>
      <w:bookmarkEnd w:id="148"/>
      <w:bookmarkStart w:id="149" w:name="_Toc184314463"/>
      <w:bookmarkEnd w:id="149"/>
      <w:bookmarkStart w:id="150" w:name="_Toc184310331"/>
      <w:bookmarkEnd w:id="150"/>
      <w:bookmarkStart w:id="151" w:name="_Toc184314458"/>
      <w:bookmarkEnd w:id="151"/>
      <w:bookmarkStart w:id="152" w:name="_Toc184314470"/>
      <w:bookmarkEnd w:id="152"/>
      <w:bookmarkStart w:id="153" w:name="_Toc184312108"/>
      <w:bookmarkEnd w:id="153"/>
      <w:bookmarkStart w:id="154" w:name="_Toc184308061"/>
      <w:bookmarkEnd w:id="154"/>
      <w:bookmarkStart w:id="155" w:name="_Toc184310278"/>
      <w:bookmarkEnd w:id="155"/>
      <w:bookmarkStart w:id="156" w:name="_Toc184313304"/>
      <w:bookmarkEnd w:id="156"/>
      <w:bookmarkStart w:id="157" w:name="_Toc184313245"/>
      <w:bookmarkEnd w:id="157"/>
      <w:bookmarkStart w:id="158" w:name="_Toc184313300"/>
      <w:bookmarkEnd w:id="158"/>
      <w:bookmarkStart w:id="159" w:name="_Toc184308040"/>
      <w:bookmarkEnd w:id="159"/>
      <w:bookmarkStart w:id="160" w:name="_Toc184314466"/>
      <w:bookmarkEnd w:id="160"/>
      <w:bookmarkStart w:id="161" w:name="_Toc184310326"/>
      <w:bookmarkEnd w:id="161"/>
      <w:bookmarkStart w:id="162" w:name="_Toc184310274"/>
      <w:bookmarkEnd w:id="162"/>
      <w:bookmarkStart w:id="163" w:name="_Toc184313251"/>
      <w:bookmarkEnd w:id="163"/>
      <w:bookmarkStart w:id="164" w:name="_Toc184314443"/>
      <w:bookmarkEnd w:id="164"/>
      <w:bookmarkStart w:id="165" w:name="_Toc184314459"/>
      <w:bookmarkEnd w:id="165"/>
      <w:bookmarkStart w:id="166" w:name="_Toc184314418"/>
      <w:bookmarkEnd w:id="166"/>
      <w:bookmarkStart w:id="167" w:name="_Toc184308081"/>
      <w:bookmarkEnd w:id="167"/>
      <w:bookmarkStart w:id="168" w:name="_Toc184308046"/>
      <w:bookmarkEnd w:id="168"/>
      <w:bookmarkStart w:id="169" w:name="_Toc184308038"/>
      <w:bookmarkEnd w:id="169"/>
      <w:bookmarkStart w:id="170" w:name="_Toc184312074"/>
      <w:bookmarkEnd w:id="170"/>
      <w:bookmarkStart w:id="171" w:name="_Toc184312102"/>
      <w:bookmarkEnd w:id="171"/>
      <w:bookmarkStart w:id="172" w:name="_Toc184308089"/>
      <w:bookmarkEnd w:id="172"/>
      <w:bookmarkStart w:id="173" w:name="_Toc184312091"/>
      <w:bookmarkEnd w:id="173"/>
      <w:bookmarkStart w:id="174" w:name="_Toc184312133"/>
      <w:bookmarkEnd w:id="174"/>
      <w:bookmarkStart w:id="175" w:name="_Toc184314434"/>
      <w:bookmarkEnd w:id="175"/>
      <w:bookmarkStart w:id="176" w:name="_Toc184310340"/>
      <w:bookmarkEnd w:id="176"/>
      <w:bookmarkStart w:id="177" w:name="_Toc184314453"/>
      <w:bookmarkEnd w:id="177"/>
      <w:bookmarkStart w:id="178" w:name="_Toc184313247"/>
      <w:bookmarkEnd w:id="178"/>
      <w:bookmarkStart w:id="179" w:name="_Toc184308092"/>
      <w:bookmarkEnd w:id="179"/>
      <w:bookmarkStart w:id="180" w:name="_Toc184313308"/>
      <w:bookmarkEnd w:id="180"/>
      <w:bookmarkStart w:id="181" w:name="_Toc184312082"/>
      <w:bookmarkEnd w:id="181"/>
      <w:bookmarkStart w:id="182" w:name="_Toc184312096"/>
      <w:bookmarkEnd w:id="182"/>
      <w:bookmarkStart w:id="183" w:name="_Toc184314481"/>
      <w:bookmarkEnd w:id="183"/>
      <w:bookmarkStart w:id="184" w:name="_Toc184314438"/>
      <w:bookmarkEnd w:id="184"/>
      <w:bookmarkStart w:id="185" w:name="_Toc184313269"/>
      <w:bookmarkEnd w:id="185"/>
      <w:bookmarkStart w:id="186" w:name="_Toc184310302"/>
      <w:bookmarkEnd w:id="186"/>
      <w:bookmarkStart w:id="187" w:name="_Toc184313279"/>
      <w:bookmarkEnd w:id="187"/>
      <w:bookmarkStart w:id="188" w:name="_Toc184314440"/>
      <w:bookmarkEnd w:id="188"/>
      <w:bookmarkStart w:id="189" w:name="_Toc184314412"/>
      <w:bookmarkEnd w:id="189"/>
      <w:bookmarkStart w:id="190" w:name="_Toc184308083"/>
      <w:bookmarkEnd w:id="190"/>
      <w:bookmarkStart w:id="191" w:name="_Toc184313273"/>
      <w:bookmarkEnd w:id="191"/>
      <w:bookmarkStart w:id="192" w:name="_Toc184308105"/>
      <w:bookmarkEnd w:id="192"/>
      <w:bookmarkStart w:id="193" w:name="_Toc184313264"/>
      <w:bookmarkEnd w:id="193"/>
      <w:bookmarkStart w:id="194" w:name="_Toc184312093"/>
      <w:bookmarkEnd w:id="194"/>
      <w:bookmarkStart w:id="195" w:name="_Toc184312073"/>
      <w:bookmarkEnd w:id="195"/>
      <w:bookmarkStart w:id="196" w:name="_Toc184314415"/>
      <w:bookmarkEnd w:id="196"/>
      <w:bookmarkStart w:id="197" w:name="_Toc184312077"/>
      <w:bookmarkEnd w:id="197"/>
      <w:bookmarkStart w:id="198" w:name="_Toc184312084"/>
      <w:bookmarkEnd w:id="198"/>
      <w:bookmarkStart w:id="199" w:name="_Toc184313275"/>
      <w:bookmarkEnd w:id="199"/>
      <w:bookmarkStart w:id="200" w:name="_Toc184313246"/>
      <w:bookmarkEnd w:id="200"/>
      <w:bookmarkStart w:id="201" w:name="_Toc184313261"/>
      <w:bookmarkEnd w:id="201"/>
      <w:bookmarkStart w:id="202" w:name="_Toc184313267"/>
      <w:bookmarkEnd w:id="202"/>
      <w:bookmarkStart w:id="203" w:name="_Toc184313277"/>
      <w:bookmarkEnd w:id="203"/>
      <w:bookmarkStart w:id="204" w:name="_Toc184310296"/>
      <w:bookmarkEnd w:id="204"/>
      <w:bookmarkStart w:id="205" w:name="_Toc184312089"/>
      <w:bookmarkEnd w:id="205"/>
      <w:bookmarkStart w:id="206" w:name="_Toc184308045"/>
      <w:bookmarkEnd w:id="206"/>
      <w:bookmarkStart w:id="207" w:name="_Toc184308066"/>
      <w:bookmarkEnd w:id="207"/>
      <w:bookmarkStart w:id="208" w:name="_Toc184312123"/>
      <w:bookmarkEnd w:id="208"/>
      <w:bookmarkStart w:id="209" w:name="_Toc184314442"/>
      <w:bookmarkEnd w:id="209"/>
      <w:bookmarkStart w:id="210" w:name="_Toc184313243"/>
      <w:bookmarkEnd w:id="210"/>
      <w:bookmarkStart w:id="211" w:name="_Toc184310306"/>
      <w:bookmarkEnd w:id="211"/>
      <w:bookmarkStart w:id="212" w:name="_Toc184310284"/>
      <w:bookmarkEnd w:id="212"/>
      <w:bookmarkStart w:id="213" w:name="_Toc184310319"/>
      <w:bookmarkEnd w:id="213"/>
      <w:bookmarkStart w:id="214" w:name="_Toc184313244"/>
      <w:bookmarkEnd w:id="214"/>
      <w:bookmarkStart w:id="215" w:name="_Toc184312079"/>
      <w:bookmarkEnd w:id="215"/>
      <w:bookmarkStart w:id="216" w:name="_Toc184312071"/>
      <w:bookmarkEnd w:id="216"/>
      <w:bookmarkStart w:id="217" w:name="_Toc184314431"/>
      <w:bookmarkEnd w:id="217"/>
      <w:bookmarkStart w:id="218" w:name="_Toc184308086"/>
      <w:bookmarkEnd w:id="218"/>
      <w:bookmarkStart w:id="219" w:name="_Toc184314457"/>
      <w:bookmarkEnd w:id="219"/>
      <w:bookmarkStart w:id="220" w:name="_Toc184313295"/>
      <w:bookmarkEnd w:id="220"/>
      <w:bookmarkStart w:id="221" w:name="_Toc184314445"/>
      <w:bookmarkEnd w:id="221"/>
      <w:bookmarkStart w:id="222" w:name="_Toc184313259"/>
      <w:bookmarkEnd w:id="222"/>
      <w:bookmarkStart w:id="223" w:name="_Toc184314432"/>
      <w:bookmarkEnd w:id="223"/>
      <w:bookmarkStart w:id="224" w:name="_Toc184312127"/>
      <w:bookmarkEnd w:id="224"/>
      <w:bookmarkStart w:id="225" w:name="_Toc184310314"/>
      <w:bookmarkEnd w:id="225"/>
      <w:bookmarkStart w:id="226" w:name="_Toc184312086"/>
      <w:bookmarkEnd w:id="226"/>
      <w:bookmarkStart w:id="227" w:name="_Toc184308044"/>
      <w:bookmarkEnd w:id="227"/>
      <w:bookmarkStart w:id="228" w:name="_Toc184308094"/>
      <w:bookmarkEnd w:id="228"/>
      <w:bookmarkStart w:id="229" w:name="_Toc184312067"/>
      <w:bookmarkEnd w:id="229"/>
      <w:bookmarkStart w:id="230" w:name="_Toc184314414"/>
      <w:bookmarkEnd w:id="230"/>
      <w:bookmarkStart w:id="231" w:name="_Toc184313238"/>
      <w:bookmarkEnd w:id="231"/>
      <w:bookmarkStart w:id="232" w:name="_Toc184314450"/>
      <w:bookmarkEnd w:id="232"/>
      <w:bookmarkStart w:id="233" w:name="_Toc184312075"/>
      <w:bookmarkEnd w:id="233"/>
      <w:bookmarkStart w:id="234" w:name="_Toc184314447"/>
      <w:bookmarkEnd w:id="234"/>
      <w:bookmarkStart w:id="235" w:name="_Toc184310279"/>
      <w:bookmarkEnd w:id="235"/>
      <w:bookmarkStart w:id="236" w:name="_Toc184308096"/>
      <w:bookmarkEnd w:id="236"/>
      <w:bookmarkStart w:id="237" w:name="_Toc184313254"/>
      <w:bookmarkEnd w:id="237"/>
      <w:bookmarkStart w:id="238" w:name="_Toc184312085"/>
      <w:bookmarkEnd w:id="238"/>
      <w:bookmarkStart w:id="239" w:name="_Toc184314473"/>
      <w:bookmarkEnd w:id="239"/>
      <w:bookmarkStart w:id="240" w:name="_Toc184308067"/>
      <w:bookmarkEnd w:id="240"/>
      <w:bookmarkStart w:id="241" w:name="_Toc184313282"/>
      <w:bookmarkEnd w:id="241"/>
      <w:bookmarkStart w:id="242" w:name="_Toc184308042"/>
      <w:bookmarkEnd w:id="242"/>
      <w:bookmarkStart w:id="243" w:name="_Toc184310301"/>
      <w:bookmarkEnd w:id="243"/>
      <w:bookmarkStart w:id="244" w:name="_Toc184314420"/>
      <w:bookmarkEnd w:id="244"/>
      <w:bookmarkStart w:id="245" w:name="_Toc184313301"/>
      <w:bookmarkEnd w:id="245"/>
      <w:bookmarkStart w:id="246" w:name="_Toc184310283"/>
      <w:bookmarkEnd w:id="246"/>
      <w:bookmarkStart w:id="247" w:name="_Toc184313272"/>
      <w:bookmarkEnd w:id="247"/>
      <w:bookmarkStart w:id="248" w:name="_Toc184314472"/>
      <w:bookmarkEnd w:id="248"/>
      <w:bookmarkStart w:id="249" w:name="_Toc184313306"/>
      <w:bookmarkEnd w:id="249"/>
      <w:bookmarkStart w:id="250" w:name="_Toc184310333"/>
      <w:bookmarkEnd w:id="250"/>
      <w:bookmarkStart w:id="251" w:name="_Toc184314482"/>
      <w:bookmarkEnd w:id="251"/>
      <w:bookmarkStart w:id="252" w:name="_Toc184308106"/>
      <w:bookmarkEnd w:id="252"/>
      <w:bookmarkStart w:id="253" w:name="_Toc184310303"/>
      <w:bookmarkEnd w:id="253"/>
      <w:bookmarkStart w:id="254" w:name="_Toc184314449"/>
      <w:bookmarkEnd w:id="254"/>
      <w:bookmarkStart w:id="255" w:name="_Toc184312139"/>
      <w:bookmarkEnd w:id="255"/>
      <w:bookmarkStart w:id="256" w:name="_Toc184312129"/>
      <w:bookmarkEnd w:id="256"/>
      <w:bookmarkStart w:id="257" w:name="_Toc184308100"/>
      <w:bookmarkEnd w:id="257"/>
      <w:bookmarkStart w:id="258" w:name="_Toc184310289"/>
      <w:bookmarkEnd w:id="258"/>
      <w:bookmarkStart w:id="259" w:name="_Toc184310272"/>
      <w:bookmarkEnd w:id="259"/>
      <w:bookmarkStart w:id="260" w:name="_Toc184308036"/>
      <w:bookmarkEnd w:id="260"/>
      <w:bookmarkStart w:id="261" w:name="_Toc184312113"/>
      <w:bookmarkEnd w:id="261"/>
      <w:bookmarkStart w:id="262" w:name="_Toc184310305"/>
      <w:bookmarkEnd w:id="262"/>
      <w:bookmarkStart w:id="263" w:name="_Toc184313298"/>
      <w:bookmarkEnd w:id="263"/>
      <w:bookmarkStart w:id="264" w:name="_Toc184310334"/>
      <w:bookmarkEnd w:id="264"/>
      <w:bookmarkStart w:id="265" w:name="_Toc184312095"/>
      <w:bookmarkEnd w:id="265"/>
      <w:bookmarkStart w:id="266" w:name="_Toc184314477"/>
      <w:bookmarkEnd w:id="266"/>
      <w:bookmarkStart w:id="267" w:name="_Toc184314437"/>
      <w:bookmarkEnd w:id="267"/>
      <w:bookmarkStart w:id="268" w:name="_Toc184312099"/>
      <w:bookmarkEnd w:id="268"/>
      <w:bookmarkStart w:id="269" w:name="_Toc184314474"/>
      <w:bookmarkEnd w:id="269"/>
      <w:bookmarkStart w:id="270" w:name="_Toc184308071"/>
      <w:bookmarkEnd w:id="270"/>
      <w:bookmarkStart w:id="271" w:name="_Toc184312107"/>
      <w:bookmarkEnd w:id="271"/>
      <w:bookmarkStart w:id="272" w:name="_Toc184310312"/>
      <w:bookmarkEnd w:id="272"/>
      <w:bookmarkStart w:id="273" w:name="_Toc184314411"/>
      <w:bookmarkEnd w:id="273"/>
      <w:bookmarkStart w:id="274" w:name="_Toc184310304"/>
      <w:bookmarkEnd w:id="274"/>
      <w:bookmarkStart w:id="275" w:name="_Toc184313239"/>
      <w:bookmarkEnd w:id="275"/>
      <w:bookmarkStart w:id="276" w:name="_Toc184313302"/>
      <w:bookmarkEnd w:id="276"/>
      <w:bookmarkStart w:id="277" w:name="_Toc184308097"/>
      <w:bookmarkEnd w:id="277"/>
      <w:bookmarkStart w:id="278" w:name="_Toc184310321"/>
      <w:bookmarkEnd w:id="278"/>
      <w:bookmarkStart w:id="279" w:name="_Toc184312078"/>
      <w:bookmarkEnd w:id="279"/>
      <w:bookmarkStart w:id="280" w:name="_Toc184310336"/>
      <w:bookmarkEnd w:id="280"/>
      <w:bookmarkStart w:id="281" w:name="_Toc184314478"/>
      <w:bookmarkEnd w:id="281"/>
      <w:bookmarkStart w:id="282" w:name="_Toc184310323"/>
      <w:bookmarkEnd w:id="282"/>
      <w:bookmarkStart w:id="283" w:name="_Toc184308077"/>
      <w:bookmarkEnd w:id="283"/>
      <w:bookmarkStart w:id="284" w:name="_Toc184313262"/>
      <w:bookmarkEnd w:id="284"/>
      <w:bookmarkStart w:id="285" w:name="_Toc184314430"/>
      <w:bookmarkEnd w:id="285"/>
      <w:bookmarkStart w:id="286" w:name="_Toc184308079"/>
      <w:bookmarkEnd w:id="286"/>
      <w:bookmarkStart w:id="287" w:name="_Toc184308095"/>
      <w:bookmarkEnd w:id="287"/>
      <w:bookmarkStart w:id="288" w:name="_Toc184308082"/>
      <w:bookmarkEnd w:id="288"/>
      <w:bookmarkStart w:id="289" w:name="_Toc184310318"/>
      <w:bookmarkEnd w:id="289"/>
      <w:bookmarkStart w:id="290" w:name="_Toc184308039"/>
      <w:bookmarkEnd w:id="290"/>
      <w:bookmarkStart w:id="291" w:name="_Toc184310320"/>
      <w:bookmarkEnd w:id="291"/>
      <w:bookmarkStart w:id="292" w:name="_Toc184308076"/>
      <w:bookmarkEnd w:id="292"/>
      <w:bookmarkStart w:id="293" w:name="_Toc184313294"/>
      <w:bookmarkEnd w:id="293"/>
      <w:bookmarkStart w:id="294" w:name="_Toc184310328"/>
      <w:bookmarkEnd w:id="294"/>
      <w:bookmarkStart w:id="295" w:name="_Toc184312118"/>
      <w:bookmarkEnd w:id="295"/>
      <w:bookmarkStart w:id="296" w:name="_Toc184314421"/>
      <w:bookmarkEnd w:id="296"/>
      <w:bookmarkStart w:id="297" w:name="_Toc184314467"/>
      <w:bookmarkEnd w:id="297"/>
      <w:bookmarkStart w:id="298" w:name="_Toc184314460"/>
      <w:bookmarkEnd w:id="298"/>
      <w:bookmarkStart w:id="299" w:name="_Toc184313286"/>
      <w:bookmarkEnd w:id="299"/>
      <w:bookmarkStart w:id="300" w:name="_Toc184310344"/>
      <w:bookmarkEnd w:id="300"/>
      <w:bookmarkStart w:id="301" w:name="_Toc184313256"/>
      <w:bookmarkEnd w:id="301"/>
      <w:bookmarkStart w:id="302" w:name="_Toc184310281"/>
      <w:bookmarkEnd w:id="302"/>
      <w:bookmarkStart w:id="303" w:name="_Toc184308052"/>
      <w:bookmarkEnd w:id="303"/>
      <w:bookmarkStart w:id="304" w:name="_Toc184310341"/>
      <w:bookmarkEnd w:id="304"/>
      <w:bookmarkStart w:id="305" w:name="_Toc184314471"/>
      <w:bookmarkEnd w:id="305"/>
      <w:bookmarkStart w:id="306" w:name="_Toc184314429"/>
      <w:bookmarkEnd w:id="306"/>
      <w:bookmarkStart w:id="307" w:name="_Toc184313271"/>
      <w:bookmarkEnd w:id="307"/>
      <w:bookmarkStart w:id="308" w:name="_Toc184313266"/>
      <w:bookmarkEnd w:id="308"/>
      <w:bookmarkStart w:id="309" w:name="_Toc184310276"/>
      <w:bookmarkEnd w:id="309"/>
      <w:bookmarkStart w:id="310" w:name="_Toc184312081"/>
      <w:bookmarkEnd w:id="310"/>
      <w:bookmarkStart w:id="311" w:name="_Toc184310313"/>
      <w:bookmarkEnd w:id="311"/>
      <w:bookmarkStart w:id="312" w:name="_Toc184312115"/>
      <w:bookmarkEnd w:id="312"/>
      <w:bookmarkStart w:id="313" w:name="_Toc184313252"/>
      <w:bookmarkEnd w:id="313"/>
      <w:bookmarkStart w:id="314" w:name="_Toc184308062"/>
      <w:bookmarkEnd w:id="314"/>
      <w:bookmarkStart w:id="315" w:name="_Toc184310338"/>
      <w:bookmarkEnd w:id="315"/>
      <w:bookmarkStart w:id="316" w:name="_Toc184310300"/>
      <w:bookmarkEnd w:id="316"/>
      <w:bookmarkStart w:id="317" w:name="_Toc184313289"/>
      <w:bookmarkEnd w:id="317"/>
      <w:bookmarkStart w:id="318" w:name="_Toc184308093"/>
      <w:bookmarkEnd w:id="318"/>
      <w:bookmarkStart w:id="319" w:name="_Toc184310316"/>
      <w:bookmarkEnd w:id="319"/>
      <w:bookmarkStart w:id="320" w:name="_Toc184312126"/>
      <w:bookmarkEnd w:id="320"/>
      <w:bookmarkStart w:id="321" w:name="_Toc184310285"/>
      <w:bookmarkEnd w:id="321"/>
      <w:bookmarkStart w:id="322" w:name="_Toc184310307"/>
      <w:bookmarkEnd w:id="322"/>
      <w:bookmarkStart w:id="323" w:name="_Toc184312100"/>
      <w:bookmarkEnd w:id="323"/>
      <w:bookmarkStart w:id="324" w:name="_Toc184310297"/>
      <w:bookmarkEnd w:id="324"/>
      <w:bookmarkStart w:id="325" w:name="_Toc184312138"/>
      <w:bookmarkEnd w:id="325"/>
      <w:bookmarkStart w:id="326" w:name="_Toc184308059"/>
      <w:bookmarkEnd w:id="326"/>
      <w:bookmarkStart w:id="327" w:name="_Toc184308041"/>
      <w:bookmarkEnd w:id="327"/>
      <w:bookmarkStart w:id="328" w:name="_Toc184313260"/>
      <w:bookmarkEnd w:id="328"/>
      <w:bookmarkStart w:id="329" w:name="_Toc184312120"/>
      <w:bookmarkEnd w:id="329"/>
      <w:bookmarkStart w:id="330" w:name="_Toc184308050"/>
      <w:bookmarkEnd w:id="330"/>
      <w:bookmarkStart w:id="331" w:name="_Toc184312105"/>
      <w:bookmarkEnd w:id="331"/>
      <w:bookmarkStart w:id="332" w:name="_Toc184313265"/>
      <w:bookmarkEnd w:id="332"/>
      <w:bookmarkStart w:id="333" w:name="_Toc184312092"/>
      <w:bookmarkEnd w:id="333"/>
      <w:bookmarkStart w:id="334" w:name="_Toc184310299"/>
      <w:bookmarkEnd w:id="334"/>
      <w:bookmarkStart w:id="335" w:name="_Toc184314451"/>
      <w:bookmarkEnd w:id="335"/>
      <w:bookmarkStart w:id="336" w:name="_Toc184310282"/>
      <w:bookmarkEnd w:id="336"/>
      <w:bookmarkStart w:id="337" w:name="_Toc184314433"/>
      <w:bookmarkEnd w:id="337"/>
      <w:bookmarkStart w:id="338" w:name="_Toc184313268"/>
      <w:bookmarkEnd w:id="338"/>
      <w:bookmarkStart w:id="339" w:name="_Toc184312128"/>
      <w:bookmarkEnd w:id="339"/>
      <w:bookmarkStart w:id="340" w:name="_Toc184313280"/>
      <w:bookmarkEnd w:id="340"/>
      <w:bookmarkStart w:id="341" w:name="_Toc184314428"/>
      <w:bookmarkEnd w:id="341"/>
      <w:bookmarkStart w:id="342" w:name="_Toc184312101"/>
      <w:bookmarkEnd w:id="342"/>
      <w:bookmarkStart w:id="343" w:name="_Toc184313258"/>
      <w:bookmarkEnd w:id="343"/>
      <w:bookmarkStart w:id="344" w:name="_Toc184310343"/>
      <w:bookmarkEnd w:id="344"/>
      <w:bookmarkStart w:id="345" w:name="_Toc184312080"/>
      <w:bookmarkEnd w:id="345"/>
      <w:bookmarkStart w:id="346" w:name="_Toc184308080"/>
      <w:bookmarkEnd w:id="346"/>
      <w:bookmarkStart w:id="347" w:name="_Toc184310298"/>
      <w:bookmarkEnd w:id="347"/>
      <w:bookmarkStart w:id="348" w:name="_Toc184313284"/>
      <w:bookmarkEnd w:id="348"/>
      <w:bookmarkStart w:id="349" w:name="_Toc184314422"/>
      <w:bookmarkEnd w:id="349"/>
      <w:bookmarkStart w:id="350" w:name="_Toc184313274"/>
      <w:bookmarkEnd w:id="350"/>
      <w:bookmarkStart w:id="351" w:name="_Toc184310277"/>
      <w:bookmarkEnd w:id="351"/>
      <w:bookmarkStart w:id="352" w:name="_Toc184313263"/>
      <w:bookmarkEnd w:id="352"/>
      <w:bookmarkStart w:id="353" w:name="_Toc184312111"/>
      <w:bookmarkEnd w:id="353"/>
      <w:bookmarkStart w:id="354" w:name="_Toc184308053"/>
      <w:bookmarkEnd w:id="354"/>
      <w:bookmarkStart w:id="355" w:name="_Toc184310332"/>
      <w:bookmarkEnd w:id="355"/>
      <w:bookmarkStart w:id="356" w:name="_Toc184313255"/>
      <w:bookmarkEnd w:id="356"/>
      <w:bookmarkStart w:id="357" w:name="_Toc184314441"/>
      <w:bookmarkEnd w:id="357"/>
      <w:bookmarkStart w:id="358" w:name="_Toc184308108"/>
      <w:bookmarkEnd w:id="358"/>
      <w:bookmarkStart w:id="359" w:name="_Toc184313291"/>
      <w:bookmarkEnd w:id="359"/>
      <w:bookmarkStart w:id="360" w:name="_Toc184313297"/>
      <w:bookmarkEnd w:id="360"/>
      <w:bookmarkStart w:id="361" w:name="_Toc184310329"/>
      <w:bookmarkEnd w:id="361"/>
      <w:bookmarkStart w:id="362" w:name="_Toc184310324"/>
      <w:bookmarkEnd w:id="362"/>
      <w:bookmarkStart w:id="363" w:name="_Toc184314456"/>
      <w:bookmarkEnd w:id="363"/>
      <w:bookmarkStart w:id="364" w:name="_Toc184310330"/>
      <w:bookmarkEnd w:id="364"/>
      <w:bookmarkStart w:id="365" w:name="_Toc184310315"/>
      <w:bookmarkEnd w:id="365"/>
      <w:bookmarkStart w:id="366" w:name="_Toc184310339"/>
      <w:bookmarkEnd w:id="366"/>
      <w:bookmarkStart w:id="367" w:name="_Toc184314410"/>
      <w:bookmarkEnd w:id="367"/>
      <w:bookmarkStart w:id="368" w:name="_Toc184313240"/>
      <w:bookmarkEnd w:id="368"/>
      <w:bookmarkStart w:id="369" w:name="_Toc184308060"/>
      <w:bookmarkEnd w:id="369"/>
      <w:bookmarkStart w:id="370" w:name="_Toc184312103"/>
      <w:bookmarkEnd w:id="370"/>
      <w:bookmarkStart w:id="371" w:name="_Toc184312104"/>
      <w:bookmarkEnd w:id="371"/>
      <w:bookmarkStart w:id="372" w:name="_Toc184314427"/>
      <w:bookmarkEnd w:id="372"/>
      <w:bookmarkStart w:id="373" w:name="_Toc184313292"/>
      <w:bookmarkEnd w:id="373"/>
      <w:bookmarkStart w:id="374" w:name="_Toc184308063"/>
      <w:bookmarkEnd w:id="374"/>
      <w:bookmarkStart w:id="375" w:name="_Toc184312070"/>
      <w:bookmarkEnd w:id="375"/>
      <w:bookmarkStart w:id="376" w:name="_Toc184314423"/>
      <w:bookmarkEnd w:id="376"/>
      <w:bookmarkStart w:id="377" w:name="_Toc184314448"/>
      <w:bookmarkEnd w:id="377"/>
      <w:bookmarkStart w:id="378" w:name="_Toc184314416"/>
      <w:bookmarkEnd w:id="378"/>
      <w:bookmarkStart w:id="379" w:name="_Toc184310293"/>
      <w:bookmarkEnd w:id="379"/>
      <w:bookmarkStart w:id="380" w:name="_Toc184308074"/>
      <w:bookmarkEnd w:id="380"/>
      <w:bookmarkStart w:id="381" w:name="_Toc184313250"/>
      <w:bookmarkEnd w:id="381"/>
      <w:bookmarkStart w:id="382" w:name="_Toc184310287"/>
      <w:bookmarkEnd w:id="382"/>
      <w:bookmarkStart w:id="383" w:name="_Toc184314462"/>
      <w:bookmarkEnd w:id="383"/>
      <w:bookmarkStart w:id="384" w:name="_Toc184312122"/>
      <w:bookmarkEnd w:id="384"/>
      <w:bookmarkStart w:id="385" w:name="_Toc184310275"/>
      <w:bookmarkEnd w:id="385"/>
      <w:bookmarkStart w:id="386" w:name="_Toc184313305"/>
      <w:bookmarkEnd w:id="386"/>
      <w:bookmarkStart w:id="387" w:name="_Toc184313309"/>
      <w:bookmarkEnd w:id="387"/>
      <w:bookmarkStart w:id="388" w:name="_Toc184310327"/>
      <w:bookmarkEnd w:id="388"/>
      <w:bookmarkStart w:id="389" w:name="_Toc184312069"/>
      <w:bookmarkEnd w:id="389"/>
      <w:bookmarkStart w:id="390" w:name="_Toc184313307"/>
      <w:bookmarkEnd w:id="390"/>
      <w:bookmarkStart w:id="391" w:name="_Toc184313283"/>
      <w:bookmarkEnd w:id="391"/>
      <w:bookmarkStart w:id="392" w:name="_Toc184308099"/>
      <w:bookmarkEnd w:id="392"/>
      <w:bookmarkStart w:id="393" w:name="_Toc184310292"/>
      <w:bookmarkEnd w:id="393"/>
      <w:bookmarkStart w:id="394" w:name="_Toc184312110"/>
      <w:bookmarkEnd w:id="394"/>
      <w:bookmarkStart w:id="395" w:name="_Toc184314426"/>
      <w:bookmarkEnd w:id="395"/>
      <w:r>
        <w:rPr>
          <w:rFonts w:hint="eastAsia" w:ascii="宋体" w:hAnsi="宋体" w:cs="宋体"/>
          <w:b/>
          <w:sz w:val="36"/>
          <w:szCs w:val="36"/>
        </w:rPr>
        <w:t>评标办法</w:t>
      </w:r>
    </w:p>
    <w:p>
      <w:pPr>
        <w:snapToGrid w:val="0"/>
        <w:spacing w:line="360" w:lineRule="auto"/>
        <w:jc w:val="center"/>
        <w:rPr>
          <w:rFonts w:ascii="宋体" w:hAnsi="宋体" w:cs="宋体"/>
          <w:b/>
          <w:sz w:val="32"/>
          <w:szCs w:val="20"/>
        </w:rPr>
      </w:pPr>
      <w:r>
        <w:rPr>
          <w:rFonts w:hint="eastAsia" w:ascii="宋体" w:hAnsi="宋体" w:cs="宋体"/>
          <w:b/>
          <w:sz w:val="32"/>
          <w:szCs w:val="20"/>
        </w:rPr>
        <w:t>评标办法前附表</w:t>
      </w:r>
    </w:p>
    <w:p>
      <w:pPr>
        <w:pStyle w:val="25"/>
        <w:spacing w:line="360" w:lineRule="auto"/>
        <w:ind w:firstLine="0" w:firstLineChars="0"/>
        <w:rPr>
          <w:rFonts w:cs="宋体"/>
          <w:b/>
          <w:bCs/>
        </w:rPr>
      </w:pPr>
      <w:r>
        <w:rPr>
          <w:rFonts w:hint="eastAsia" w:cs="宋体"/>
          <w:b/>
        </w:rPr>
        <w:t>（一）</w:t>
      </w:r>
      <w:r>
        <w:rPr>
          <w:rFonts w:hint="eastAsia" w:cs="宋体"/>
          <w:b/>
          <w:bCs/>
        </w:rPr>
        <w:t>价格分（0-60分）</w:t>
      </w:r>
    </w:p>
    <w:p>
      <w:pPr>
        <w:pStyle w:val="25"/>
        <w:spacing w:line="360" w:lineRule="auto"/>
        <w:rPr>
          <w:rFonts w:cs="宋体"/>
          <w:bCs/>
        </w:rPr>
      </w:pPr>
      <w:r>
        <w:rPr>
          <w:rFonts w:hint="eastAsia" w:cs="宋体"/>
          <w:bCs/>
        </w:rPr>
        <w:t>1.价格分采用低价优先法计算，即满足招标文件要求且投标价格最低的投标报价为评标基准价，其他供应商的价格分按照下列公式计算：</w:t>
      </w:r>
    </w:p>
    <w:p>
      <w:pPr>
        <w:spacing w:line="360" w:lineRule="auto"/>
        <w:ind w:firstLine="480" w:firstLineChars="200"/>
        <w:rPr>
          <w:rFonts w:ascii="宋体" w:hAnsi="宋体" w:cs="宋体"/>
          <w:sz w:val="24"/>
        </w:rPr>
      </w:pPr>
      <w:r>
        <w:rPr>
          <w:rFonts w:hint="eastAsia" w:ascii="宋体" w:hAnsi="宋体" w:cs="宋体"/>
          <w:sz w:val="24"/>
        </w:rPr>
        <w:t>价格分=（评标基准价/投标报价）×60%×100</w:t>
      </w:r>
    </w:p>
    <w:p>
      <w:pPr>
        <w:pStyle w:val="25"/>
        <w:numPr>
          <w:ilvl w:val="0"/>
          <w:numId w:val="3"/>
        </w:numPr>
        <w:spacing w:line="360" w:lineRule="auto"/>
        <w:rPr>
          <w:rFonts w:cs="宋体"/>
          <w:bCs/>
        </w:rPr>
      </w:pPr>
      <w:r>
        <w:rPr>
          <w:rFonts w:hint="eastAsia" w:cs="宋体"/>
          <w:bCs/>
        </w:rPr>
        <w:t>供应商的投标报价超过采购人设定的最高限价，将作为无效标。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42"/>
      </w:pPr>
      <w:r>
        <w:rPr>
          <w:rFonts w:hint="eastAsia" w:ascii="宋体" w:hAnsi="宋体" w:eastAsia="宋体" w:cs="宋体"/>
          <w:b/>
          <w:bCs/>
          <w:kern w:val="2"/>
          <w:sz w:val="24"/>
          <w:szCs w:val="24"/>
        </w:rPr>
        <w:t>（二）资信技术分（0-40分）</w:t>
      </w:r>
    </w:p>
    <w:tbl>
      <w:tblPr>
        <w:tblStyle w:val="63"/>
        <w:tblW w:w="57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988"/>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399" w:type="pct"/>
            <w:vAlign w:val="center"/>
          </w:tcPr>
          <w:p>
            <w:pPr>
              <w:jc w:val="center"/>
              <w:rPr>
                <w:rFonts w:ascii="宋体" w:hAnsi="宋体" w:cs="宋体"/>
                <w:b/>
                <w:bCs/>
                <w:sz w:val="24"/>
              </w:rPr>
            </w:pPr>
            <w:r>
              <w:rPr>
                <w:rFonts w:hint="eastAsia" w:ascii="宋体" w:hAnsi="宋体" w:cs="宋体"/>
                <w:b/>
                <w:bCs/>
                <w:sz w:val="24"/>
              </w:rPr>
              <w:t>序号</w:t>
            </w:r>
          </w:p>
        </w:tc>
        <w:tc>
          <w:tcPr>
            <w:tcW w:w="4117" w:type="pct"/>
            <w:vAlign w:val="center"/>
          </w:tcPr>
          <w:p>
            <w:pPr>
              <w:jc w:val="center"/>
              <w:rPr>
                <w:rFonts w:ascii="宋体" w:hAnsi="宋体" w:cs="宋体"/>
                <w:b/>
                <w:bCs/>
                <w:sz w:val="24"/>
              </w:rPr>
            </w:pPr>
            <w:r>
              <w:rPr>
                <w:rFonts w:hint="eastAsia" w:ascii="宋体" w:hAnsi="宋体" w:cs="宋体"/>
                <w:b/>
                <w:bCs/>
                <w:sz w:val="24"/>
              </w:rPr>
              <w:t>评标标准</w:t>
            </w:r>
          </w:p>
        </w:tc>
        <w:tc>
          <w:tcPr>
            <w:tcW w:w="482" w:type="pct"/>
            <w:vAlign w:val="center"/>
          </w:tcPr>
          <w:p>
            <w:pPr>
              <w:jc w:val="center"/>
              <w:rPr>
                <w:rFonts w:ascii="宋体" w:hAnsi="宋体" w:cs="宋体"/>
                <w:b/>
                <w:bCs/>
                <w:sz w:val="24"/>
              </w:rPr>
            </w:pPr>
            <w:r>
              <w:rPr>
                <w:rFonts w:hint="eastAsia" w:ascii="宋体" w:hAnsi="宋体" w:cs="宋体"/>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atLeast"/>
          <w:jc w:val="center"/>
        </w:trPr>
        <w:tc>
          <w:tcPr>
            <w:tcW w:w="399" w:type="pct"/>
            <w:vAlign w:val="center"/>
          </w:tcPr>
          <w:p>
            <w:pPr>
              <w:jc w:val="center"/>
              <w:rPr>
                <w:rFonts w:ascii="宋体" w:hAnsi="宋体" w:cs="宋体"/>
                <w:sz w:val="24"/>
              </w:rPr>
            </w:pPr>
            <w:r>
              <w:rPr>
                <w:rFonts w:hint="eastAsia" w:ascii="宋体" w:hAnsi="宋体" w:cs="宋体"/>
                <w:sz w:val="24"/>
                <w:lang w:val="zh-CN"/>
              </w:rPr>
              <w:t>1</w:t>
            </w:r>
          </w:p>
        </w:tc>
        <w:tc>
          <w:tcPr>
            <w:tcW w:w="4117" w:type="pct"/>
            <w:vAlign w:val="center"/>
          </w:tcPr>
          <w:p>
            <w:pPr>
              <w:rPr>
                <w:rFonts w:ascii="宋体" w:hAnsi="宋体" w:cs="宋体"/>
                <w:sz w:val="24"/>
              </w:rPr>
            </w:pPr>
            <w:r>
              <w:rPr>
                <w:rFonts w:hint="eastAsia" w:ascii="宋体" w:hAnsi="宋体" w:cs="宋体"/>
                <w:sz w:val="24"/>
              </w:rPr>
              <w:t>投标产品的基本功能、技术指标与需求的吻合程度和偏差情况，其配置和性能是否能满足本项目运行的需求，标“★”项重要技术指标负偏离每一项扣减</w:t>
            </w:r>
            <w:r>
              <w:rPr>
                <w:rFonts w:hint="eastAsia" w:ascii="宋体" w:hAnsi="宋体" w:cs="宋体"/>
                <w:sz w:val="24"/>
                <w:lang w:val="en-US" w:eastAsia="zh-CN"/>
              </w:rPr>
              <w:t>1</w:t>
            </w:r>
            <w:r>
              <w:rPr>
                <w:rFonts w:hint="eastAsia" w:ascii="宋体" w:hAnsi="宋体" w:cs="宋体"/>
                <w:sz w:val="24"/>
              </w:rPr>
              <w:t>分，</w:t>
            </w:r>
            <w:r>
              <w:rPr>
                <w:rFonts w:hint="eastAsia" w:ascii="宋体" w:hAnsi="宋体" w:cs="宋体"/>
                <w:sz w:val="24"/>
                <w:lang w:eastAsia="zh-CN"/>
              </w:rPr>
              <w:t>最多扣</w:t>
            </w:r>
            <w:r>
              <w:rPr>
                <w:rFonts w:hint="eastAsia" w:ascii="宋体" w:hAnsi="宋体" w:cs="宋体"/>
                <w:sz w:val="24"/>
                <w:lang w:val="en-US" w:eastAsia="zh-CN"/>
              </w:rPr>
              <w:t>17分。</w:t>
            </w:r>
            <w:r>
              <w:rPr>
                <w:rFonts w:hint="eastAsia" w:ascii="宋体" w:hAnsi="宋体" w:cs="宋体"/>
                <w:sz w:val="24"/>
              </w:rPr>
              <w:t>（参数要求提供检测报告或其他证明文件，不提供视一项负偏离）</w:t>
            </w:r>
          </w:p>
        </w:tc>
        <w:tc>
          <w:tcPr>
            <w:tcW w:w="482" w:type="pct"/>
            <w:vAlign w:val="center"/>
          </w:tcPr>
          <w:p>
            <w:pPr>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399" w:type="pct"/>
            <w:vAlign w:val="center"/>
          </w:tcPr>
          <w:p>
            <w:pPr>
              <w:jc w:val="center"/>
              <w:rPr>
                <w:rFonts w:ascii="宋体" w:hAnsi="宋体" w:cs="宋体"/>
                <w:sz w:val="24"/>
                <w:lang w:val="zh-CN"/>
              </w:rPr>
            </w:pPr>
            <w:r>
              <w:rPr>
                <w:rFonts w:hint="eastAsia" w:ascii="宋体" w:hAnsi="宋体" w:cs="宋体"/>
                <w:sz w:val="24"/>
                <w:lang w:val="zh-CN"/>
              </w:rPr>
              <w:t>2</w:t>
            </w:r>
          </w:p>
        </w:tc>
        <w:tc>
          <w:tcPr>
            <w:tcW w:w="4117" w:type="pct"/>
            <w:vAlign w:val="center"/>
          </w:tcPr>
          <w:p>
            <w:pPr>
              <w:widowControl/>
              <w:snapToGrid w:val="0"/>
              <w:spacing w:line="288" w:lineRule="auto"/>
              <w:textAlignment w:val="center"/>
              <w:rPr>
                <w:rFonts w:ascii="宋体" w:hAnsi="宋体" w:cs="宋体"/>
                <w:sz w:val="24"/>
              </w:rPr>
            </w:pPr>
            <w:r>
              <w:rPr>
                <w:rFonts w:hint="eastAsia" w:ascii="宋体" w:hAnsi="宋体" w:cs="宋体"/>
                <w:sz w:val="24"/>
              </w:rPr>
              <w:t>投标供应商具备信息技术服务运行维护标准（ITSS认证）贰级及以上证书得0.5分、信息系统建设和服务能力优秀级（CS4）及以上得0.5分（投标时需提供证书复印件并加盖公章）</w:t>
            </w:r>
          </w:p>
        </w:tc>
        <w:tc>
          <w:tcPr>
            <w:tcW w:w="482" w:type="pct"/>
            <w:vAlign w:val="center"/>
          </w:tcPr>
          <w:p>
            <w:pPr>
              <w:jc w:val="center"/>
              <w:rPr>
                <w:rFonts w:ascii="宋体" w:hAnsi="宋体" w:cs="宋体"/>
                <w:sz w:val="24"/>
              </w:rPr>
            </w:pPr>
            <w:r>
              <w:rPr>
                <w:rFonts w:hint="eastAsia" w:ascii="宋体" w:hAnsi="宋体" w:cs="宋体"/>
                <w:sz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399" w:type="pct"/>
            <w:vAlign w:val="center"/>
          </w:tcPr>
          <w:p>
            <w:pPr>
              <w:jc w:val="center"/>
              <w:rPr>
                <w:rFonts w:ascii="宋体" w:hAnsi="宋体" w:cs="宋体"/>
                <w:sz w:val="24"/>
              </w:rPr>
            </w:pPr>
            <w:r>
              <w:rPr>
                <w:rFonts w:hint="eastAsia" w:ascii="宋体" w:hAnsi="宋体" w:cs="宋体"/>
                <w:sz w:val="24"/>
                <w:lang w:val="zh-CN"/>
              </w:rPr>
              <w:t>3</w:t>
            </w:r>
          </w:p>
        </w:tc>
        <w:tc>
          <w:tcPr>
            <w:tcW w:w="4117" w:type="pct"/>
            <w:vAlign w:val="center"/>
          </w:tcPr>
          <w:p>
            <w:pPr>
              <w:rPr>
                <w:rFonts w:ascii="宋体" w:hAnsi="宋体" w:cs="宋体"/>
                <w:sz w:val="24"/>
              </w:rPr>
            </w:pPr>
            <w:r>
              <w:rPr>
                <w:rFonts w:hint="eastAsia" w:ascii="宋体" w:hAnsi="宋体" w:cs="宋体"/>
                <w:sz w:val="24"/>
              </w:rPr>
              <w:t>投标供应商具有有效期内质量管理体系认证证书、信息技术服务管理体系，齐全得1分，少提供一个证书扣0.5分，扣完为止。</w:t>
            </w:r>
            <w:r>
              <w:rPr>
                <w:rFonts w:hint="eastAsia" w:ascii="宋体" w:hAnsi="宋体" w:cs="宋体"/>
                <w:kern w:val="0"/>
                <w:sz w:val="24"/>
              </w:rPr>
              <w:t>（提供证书复印件并加盖公章，否则不得分）</w:t>
            </w:r>
          </w:p>
        </w:tc>
        <w:tc>
          <w:tcPr>
            <w:tcW w:w="482" w:type="pct"/>
            <w:vAlign w:val="center"/>
          </w:tcPr>
          <w:p>
            <w:pPr>
              <w:jc w:val="center"/>
              <w:rPr>
                <w:rFonts w:ascii="宋体" w:hAnsi="宋体" w:cs="宋体"/>
                <w:sz w:val="24"/>
              </w:rPr>
            </w:pPr>
            <w:r>
              <w:rPr>
                <w:rFonts w:hint="eastAsia" w:ascii="宋体" w:hAnsi="宋体" w:cs="宋体"/>
                <w:sz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399" w:type="pct"/>
            <w:vAlign w:val="center"/>
          </w:tcPr>
          <w:p>
            <w:pPr>
              <w:jc w:val="center"/>
              <w:rPr>
                <w:rFonts w:ascii="宋体" w:hAnsi="宋体" w:cs="宋体"/>
                <w:sz w:val="24"/>
              </w:rPr>
            </w:pPr>
            <w:r>
              <w:rPr>
                <w:rFonts w:hint="eastAsia" w:ascii="宋体" w:hAnsi="宋体" w:cs="宋体"/>
                <w:sz w:val="24"/>
                <w:lang w:val="zh-CN"/>
              </w:rPr>
              <w:t>4</w:t>
            </w:r>
          </w:p>
        </w:tc>
        <w:tc>
          <w:tcPr>
            <w:tcW w:w="4117" w:type="pct"/>
            <w:vAlign w:val="center"/>
          </w:tcPr>
          <w:p>
            <w:pPr>
              <w:rPr>
                <w:rFonts w:ascii="宋体" w:hAnsi="宋体" w:cs="宋体"/>
                <w:sz w:val="24"/>
              </w:rPr>
            </w:pPr>
            <w:r>
              <w:rPr>
                <w:rFonts w:hint="eastAsia" w:ascii="宋体" w:hAnsi="宋体" w:cs="宋体"/>
                <w:sz w:val="24"/>
              </w:rPr>
              <w:t>投标供应商或生产厂家具备实验实训综合应用平台软件的软件著作权得1分，烹饪实训互动系统的软件著作权得1分，最多得2分（提供证书复印件加盖公章）。</w:t>
            </w:r>
          </w:p>
        </w:tc>
        <w:tc>
          <w:tcPr>
            <w:tcW w:w="482" w:type="pct"/>
            <w:vAlign w:val="center"/>
          </w:tcPr>
          <w:p>
            <w:pPr>
              <w:jc w:val="center"/>
              <w:rPr>
                <w:rFonts w:ascii="宋体" w:hAnsi="宋体" w:cs="宋体"/>
                <w:sz w:val="24"/>
              </w:rPr>
            </w:pPr>
            <w:r>
              <w:rPr>
                <w:rFonts w:hint="eastAsia" w:ascii="宋体" w:hAnsi="宋体" w:cs="宋体"/>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399" w:type="pct"/>
            <w:vAlign w:val="center"/>
          </w:tcPr>
          <w:p>
            <w:pPr>
              <w:jc w:val="center"/>
              <w:rPr>
                <w:rFonts w:ascii="宋体" w:hAnsi="宋体" w:cs="宋体"/>
                <w:sz w:val="24"/>
              </w:rPr>
            </w:pPr>
            <w:r>
              <w:rPr>
                <w:rFonts w:hint="eastAsia" w:ascii="宋体" w:hAnsi="宋体" w:cs="宋体"/>
                <w:sz w:val="24"/>
                <w:lang w:val="zh-CN"/>
              </w:rPr>
              <w:t>5</w:t>
            </w:r>
          </w:p>
        </w:tc>
        <w:tc>
          <w:tcPr>
            <w:tcW w:w="4117" w:type="pct"/>
            <w:vAlign w:val="center"/>
          </w:tcPr>
          <w:p>
            <w:pPr>
              <w:rPr>
                <w:rFonts w:ascii="宋体" w:hAnsi="宋体" w:cs="宋体"/>
                <w:sz w:val="24"/>
              </w:rPr>
            </w:pPr>
            <w:r>
              <w:rPr>
                <w:rFonts w:hint="eastAsia" w:ascii="宋体" w:hAnsi="宋体" w:cs="宋体"/>
                <w:sz w:val="24"/>
              </w:rPr>
              <w:t>项目实施方案，包括系统集成、产品供货、验货、安装调试、试运行、调优等内容，以及组织机构、工作时间进度表、工作程序和步骤、管理和协调方法等。</w:t>
            </w:r>
          </w:p>
        </w:tc>
        <w:tc>
          <w:tcPr>
            <w:tcW w:w="482" w:type="pct"/>
            <w:vAlign w:val="center"/>
          </w:tcPr>
          <w:p>
            <w:pPr>
              <w:jc w:val="center"/>
              <w:rPr>
                <w:rFonts w:ascii="宋体" w:hAnsi="宋体" w:cs="宋体"/>
                <w:sz w:val="24"/>
              </w:rPr>
            </w:pPr>
            <w:r>
              <w:rPr>
                <w:rFonts w:hint="eastAsia" w:ascii="宋体" w:hAnsi="宋体" w:cs="宋体"/>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399" w:type="pct"/>
            <w:vAlign w:val="center"/>
          </w:tcPr>
          <w:p>
            <w:pPr>
              <w:jc w:val="center"/>
              <w:rPr>
                <w:rFonts w:hint="eastAsia" w:ascii="宋体" w:hAnsi="宋体" w:eastAsia="宋体" w:cs="宋体"/>
                <w:sz w:val="24"/>
                <w:lang w:val="zh-CN" w:eastAsia="zh-CN"/>
              </w:rPr>
            </w:pPr>
            <w:r>
              <w:rPr>
                <w:rFonts w:hint="eastAsia" w:ascii="宋体" w:hAnsi="宋体" w:cs="宋体"/>
                <w:sz w:val="24"/>
                <w:lang w:val="en-US" w:eastAsia="zh-CN"/>
              </w:rPr>
              <w:t>6</w:t>
            </w:r>
          </w:p>
        </w:tc>
        <w:tc>
          <w:tcPr>
            <w:tcW w:w="4117" w:type="pct"/>
            <w:vAlign w:val="center"/>
          </w:tcPr>
          <w:p>
            <w:pPr>
              <w:rPr>
                <w:rFonts w:ascii="宋体" w:hAnsi="宋体" w:cs="宋体"/>
                <w:sz w:val="24"/>
              </w:rPr>
            </w:pPr>
            <w:r>
              <w:rPr>
                <w:rFonts w:hint="eastAsia" w:ascii="宋体" w:hAnsi="宋体" w:cs="宋体"/>
                <w:sz w:val="24"/>
              </w:rPr>
              <w:t>投标人提供的售后维护人员等情况、售后服务方案、售后服务承诺以及服务承诺落实的保障措施、售后服务的实现方式等。（1分）</w:t>
            </w:r>
          </w:p>
        </w:tc>
        <w:tc>
          <w:tcPr>
            <w:tcW w:w="482" w:type="pct"/>
            <w:vAlign w:val="center"/>
          </w:tcPr>
          <w:p>
            <w:pPr>
              <w:jc w:val="center"/>
              <w:rPr>
                <w:rFonts w:ascii="宋体" w:hAnsi="宋体" w:cs="宋体"/>
                <w:sz w:val="24"/>
              </w:rPr>
            </w:pPr>
            <w:r>
              <w:rPr>
                <w:rFonts w:hint="eastAsia" w:ascii="宋体" w:hAnsi="宋体" w:cs="宋体"/>
                <w:sz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5" w:hRule="atLeast"/>
          <w:jc w:val="center"/>
        </w:trPr>
        <w:tc>
          <w:tcPr>
            <w:tcW w:w="399" w:type="pct"/>
            <w:vAlign w:val="center"/>
          </w:tcPr>
          <w:p>
            <w:pPr>
              <w:jc w:val="center"/>
              <w:rPr>
                <w:rFonts w:hint="eastAsia" w:ascii="宋体" w:hAnsi="宋体" w:eastAsia="宋体" w:cs="宋体"/>
                <w:sz w:val="24"/>
                <w:lang w:val="zh-CN" w:eastAsia="zh-CN"/>
              </w:rPr>
            </w:pPr>
            <w:r>
              <w:rPr>
                <w:rFonts w:hint="eastAsia" w:ascii="宋体" w:hAnsi="宋体" w:cs="宋体"/>
                <w:sz w:val="24"/>
                <w:lang w:val="en-US" w:eastAsia="zh-CN"/>
              </w:rPr>
              <w:t>7</w:t>
            </w:r>
          </w:p>
        </w:tc>
        <w:tc>
          <w:tcPr>
            <w:tcW w:w="4117" w:type="pct"/>
            <w:vAlign w:val="center"/>
          </w:tcPr>
          <w:p>
            <w:pPr>
              <w:rPr>
                <w:rFonts w:ascii="宋体" w:hAnsi="宋体" w:cs="宋体"/>
                <w:sz w:val="24"/>
              </w:rPr>
            </w:pPr>
            <w:r>
              <w:rPr>
                <w:rFonts w:hint="eastAsia" w:ascii="宋体" w:hAnsi="宋体" w:cs="宋体"/>
                <w:sz w:val="24"/>
              </w:rPr>
              <w:t>投标人承接过自2021年1月1日以来(以合同签订时间为准)类似项目合同业绩，每个得1分，最高得2分。</w:t>
            </w:r>
          </w:p>
          <w:p>
            <w:pPr>
              <w:rPr>
                <w:rFonts w:ascii="宋体" w:hAnsi="宋体" w:cs="宋体"/>
                <w:b/>
                <w:bCs/>
                <w:sz w:val="24"/>
              </w:rPr>
            </w:pPr>
            <w:r>
              <w:rPr>
                <w:rFonts w:hint="eastAsia" w:ascii="宋体" w:hAnsi="宋体" w:cs="宋体"/>
                <w:b/>
                <w:bCs/>
                <w:sz w:val="24"/>
              </w:rPr>
              <w:t>注：</w:t>
            </w:r>
          </w:p>
          <w:p>
            <w:pPr>
              <w:rPr>
                <w:rFonts w:ascii="宋体" w:hAnsi="宋体" w:cs="宋体"/>
                <w:sz w:val="24"/>
              </w:rPr>
            </w:pPr>
            <w:r>
              <w:rPr>
                <w:rFonts w:hint="eastAsia" w:ascii="宋体" w:hAnsi="宋体" w:cs="宋体"/>
                <w:sz w:val="24"/>
              </w:rPr>
              <w:t>1、合同业绩须为本次投标人的业绩，投标人的独立法人子公司、参股公司的业绩均不予认可。</w:t>
            </w:r>
          </w:p>
          <w:p>
            <w:pPr>
              <w:rPr>
                <w:rFonts w:ascii="宋体" w:hAnsi="宋体" w:cs="宋体"/>
                <w:sz w:val="24"/>
              </w:rPr>
            </w:pPr>
            <w:r>
              <w:rPr>
                <w:rFonts w:hint="eastAsia" w:ascii="宋体" w:hAnsi="宋体" w:cs="宋体"/>
                <w:sz w:val="24"/>
              </w:rPr>
              <w:t>2、投标文件中须提供清晰可辨的合同扫描件并加盖投标人公章。</w:t>
            </w:r>
          </w:p>
          <w:p>
            <w:pPr>
              <w:rPr>
                <w:rFonts w:ascii="宋体" w:hAnsi="宋体" w:cs="宋体"/>
                <w:sz w:val="24"/>
              </w:rPr>
            </w:pPr>
            <w:r>
              <w:rPr>
                <w:rFonts w:hint="eastAsia" w:ascii="宋体" w:hAnsi="宋体" w:cs="宋体"/>
                <w:sz w:val="24"/>
              </w:rPr>
              <w:t>3、如投标人提供的合同扫描件因模糊不清而造成评标委员会在评审时做出对投标人不利的评审由投标人自行承担。</w:t>
            </w:r>
          </w:p>
        </w:tc>
        <w:tc>
          <w:tcPr>
            <w:tcW w:w="482" w:type="pct"/>
            <w:vAlign w:val="center"/>
          </w:tcPr>
          <w:p>
            <w:pPr>
              <w:jc w:val="center"/>
              <w:rPr>
                <w:rFonts w:ascii="宋体" w:hAnsi="宋体" w:cs="宋体"/>
                <w:sz w:val="24"/>
                <w:lang w:val="zh-CN"/>
              </w:rPr>
            </w:pPr>
            <w:r>
              <w:rPr>
                <w:rFonts w:hint="eastAsia" w:ascii="宋体" w:hAnsi="宋体" w:cs="宋体"/>
                <w:sz w:val="24"/>
                <w:lang w:val="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399" w:type="pct"/>
            <w:vAlign w:val="center"/>
          </w:tcPr>
          <w:p>
            <w:pPr>
              <w:jc w:val="center"/>
              <w:rPr>
                <w:rFonts w:hint="eastAsia" w:ascii="宋体" w:hAnsi="宋体" w:eastAsia="宋体" w:cs="宋体"/>
                <w:sz w:val="24"/>
                <w:lang w:val="zh-CN" w:eastAsia="zh-CN"/>
              </w:rPr>
            </w:pPr>
            <w:r>
              <w:rPr>
                <w:rFonts w:hint="eastAsia" w:ascii="宋体" w:hAnsi="宋体" w:cs="宋体"/>
                <w:sz w:val="24"/>
                <w:lang w:val="en-US" w:eastAsia="zh-CN"/>
              </w:rPr>
              <w:t>8</w:t>
            </w:r>
          </w:p>
        </w:tc>
        <w:tc>
          <w:tcPr>
            <w:tcW w:w="4117" w:type="pct"/>
            <w:vAlign w:val="center"/>
          </w:tcPr>
          <w:p>
            <w:pPr>
              <w:rPr>
                <w:rFonts w:ascii="宋体" w:hAnsi="宋体" w:cs="宋体"/>
                <w:b/>
                <w:bCs/>
                <w:sz w:val="24"/>
              </w:rPr>
            </w:pPr>
            <w:r>
              <w:rPr>
                <w:rFonts w:hint="eastAsia" w:ascii="宋体" w:hAnsi="宋体" w:cs="宋体"/>
                <w:sz w:val="24"/>
              </w:rPr>
              <w:t>投标人根据要求，需现场演示真实的案例系统，按照功能的完整性和合理性、系统的可操作性、用户体验等情况进行综合评分。（视频演示时间不超过15分钟，不提供者不得分，演示视频（存储于U盘）需要开标前邮寄到代理公司。</w:t>
            </w:r>
          </w:p>
          <w:p>
            <w:pPr>
              <w:rPr>
                <w:rFonts w:ascii="宋体" w:hAnsi="宋体" w:cs="宋体"/>
                <w:sz w:val="24"/>
              </w:rPr>
            </w:pPr>
            <w:r>
              <w:rPr>
                <w:rFonts w:ascii="宋体" w:hAnsi="宋体" w:cs="宋体"/>
                <w:sz w:val="24"/>
              </w:rPr>
              <w:t>1、移动式视频管理系统中录播终端需支持手机等无线设备的投屏，并可与其他通道画面融合输出投屏</w:t>
            </w:r>
            <w:r>
              <w:rPr>
                <w:rFonts w:hint="eastAsia" w:ascii="宋体" w:hAnsi="宋体" w:cs="宋体"/>
                <w:sz w:val="24"/>
              </w:rPr>
              <w:t>（0-</w:t>
            </w:r>
            <w:r>
              <w:rPr>
                <w:rFonts w:hint="eastAsia" w:ascii="宋体" w:hAnsi="宋体" w:cs="宋体"/>
                <w:sz w:val="24"/>
                <w:lang w:val="en-US" w:eastAsia="zh-CN"/>
              </w:rPr>
              <w:t>2</w:t>
            </w:r>
            <w:r>
              <w:rPr>
                <w:rFonts w:hint="eastAsia" w:ascii="宋体" w:hAnsi="宋体" w:cs="宋体"/>
                <w:sz w:val="24"/>
              </w:rPr>
              <w:t>分）</w:t>
            </w:r>
          </w:p>
          <w:p>
            <w:pPr>
              <w:rPr>
                <w:sz w:val="24"/>
              </w:rPr>
            </w:pPr>
            <w:r>
              <w:rPr>
                <w:sz w:val="24"/>
              </w:rPr>
              <w:t>2、移动式视频管理系统中录播终端需支持双图比对，可将老师示范成果物截图和学生成果物截图进行分屏比对，便于学生及时纠错改正。</w:t>
            </w:r>
            <w:r>
              <w:rPr>
                <w:rFonts w:hint="eastAsia"/>
                <w:sz w:val="24"/>
              </w:rPr>
              <w:t>（0-3分）</w:t>
            </w:r>
          </w:p>
          <w:p>
            <w:pPr>
              <w:rPr>
                <w:sz w:val="24"/>
              </w:rPr>
            </w:pPr>
            <w:r>
              <w:rPr>
                <w:sz w:val="24"/>
              </w:rPr>
              <w:t>3、移动式视频管理系统中录播终端需支持热点连接和</w:t>
            </w:r>
            <w:r>
              <w:rPr>
                <w:rFonts w:hint="eastAsia"/>
                <w:sz w:val="24"/>
              </w:rPr>
              <w:t>WIFI</w:t>
            </w:r>
            <w:r>
              <w:rPr>
                <w:sz w:val="24"/>
              </w:rPr>
              <w:t>连接，</w:t>
            </w:r>
            <w:r>
              <w:rPr>
                <w:rFonts w:hint="eastAsia" w:ascii="宋体" w:hAnsi="宋体" w:cs="宋体"/>
                <w:color w:val="000000"/>
                <w:sz w:val="24"/>
              </w:rPr>
              <w:t>设备开启热点功能时，可选择开启2.4G热点或5G 热点</w:t>
            </w:r>
            <w:r>
              <w:rPr>
                <w:rFonts w:hint="eastAsia"/>
                <w:sz w:val="24"/>
              </w:rPr>
              <w:t>（0-3分）</w:t>
            </w:r>
          </w:p>
          <w:p>
            <w:pPr>
              <w:rPr>
                <w:sz w:val="24"/>
              </w:rPr>
            </w:pPr>
            <w:r>
              <w:rPr>
                <w:sz w:val="24"/>
              </w:rPr>
              <w:t>4、教师近景相机需支持在900mm距离处聚焦清晰</w:t>
            </w:r>
            <w:r>
              <w:rPr>
                <w:rFonts w:hint="eastAsia"/>
                <w:sz w:val="24"/>
              </w:rPr>
              <w:t>（0-3分）</w:t>
            </w:r>
          </w:p>
          <w:p>
            <w:r>
              <w:rPr>
                <w:sz w:val="24"/>
              </w:rPr>
              <w:t>5、</w:t>
            </w:r>
            <w:r>
              <w:rPr>
                <w:rFonts w:hint="eastAsia"/>
                <w:sz w:val="24"/>
              </w:rPr>
              <w:t>录播终端为4K高清触摸显示屏，近景相机为不低于20倍光学变焦、</w:t>
            </w:r>
            <w:r>
              <w:rPr>
                <w:rFonts w:hint="eastAsia" w:ascii="宋体" w:hAnsi="宋体" w:cs="宋体"/>
                <w:color w:val="000000"/>
                <w:sz w:val="24"/>
              </w:rPr>
              <w:t>12倍数字变倍</w:t>
            </w:r>
            <w:r>
              <w:rPr>
                <w:rFonts w:hint="eastAsia"/>
                <w:sz w:val="24"/>
              </w:rPr>
              <w:t>、有效像素不低于829万</w:t>
            </w:r>
            <w:r>
              <w:rPr>
                <w:sz w:val="24"/>
              </w:rPr>
              <w:t>。</w:t>
            </w:r>
            <w:r>
              <w:rPr>
                <w:rFonts w:hint="eastAsia"/>
                <w:sz w:val="24"/>
              </w:rPr>
              <w:t>（0-</w:t>
            </w:r>
            <w:r>
              <w:rPr>
                <w:sz w:val="24"/>
              </w:rPr>
              <w:t>3</w:t>
            </w:r>
            <w:r>
              <w:rPr>
                <w:rFonts w:hint="eastAsia"/>
                <w:sz w:val="24"/>
              </w:rPr>
              <w:t>分）</w:t>
            </w:r>
          </w:p>
        </w:tc>
        <w:tc>
          <w:tcPr>
            <w:tcW w:w="482" w:type="pct"/>
            <w:vAlign w:val="center"/>
          </w:tcPr>
          <w:p>
            <w:pPr>
              <w:jc w:val="center"/>
              <w:rPr>
                <w:rFonts w:ascii="宋体" w:hAnsi="宋体" w:cs="宋体"/>
                <w:sz w:val="24"/>
                <w:lang w:val="zh-CN"/>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lang w:val="zh-CN"/>
              </w:rPr>
              <w:t>分</w:t>
            </w:r>
          </w:p>
        </w:tc>
      </w:tr>
    </w:tbl>
    <w:p>
      <w:pPr>
        <w:snapToGrid w:val="0"/>
        <w:spacing w:line="360" w:lineRule="auto"/>
        <w:rPr>
          <w:rFonts w:ascii="宋体" w:hAnsi="宋体" w:cs="宋体"/>
          <w:b/>
          <w:sz w:val="32"/>
        </w:rPr>
      </w:pPr>
    </w:p>
    <w:p>
      <w:pPr>
        <w:pStyle w:val="2"/>
      </w:pPr>
      <w:r>
        <w:br w:type="page"/>
      </w:r>
    </w:p>
    <w:p>
      <w:pPr>
        <w:snapToGrid w:val="0"/>
        <w:spacing w:line="360" w:lineRule="auto"/>
        <w:rPr>
          <w:rFonts w:ascii="宋体" w:hAnsi="宋体" w:cs="宋体"/>
          <w:b/>
          <w:sz w:val="28"/>
          <w:szCs w:val="28"/>
        </w:rPr>
      </w:pPr>
      <w:r>
        <w:rPr>
          <w:rFonts w:hint="eastAsia" w:ascii="宋体" w:hAnsi="宋体" w:cs="宋体"/>
          <w:b/>
          <w:sz w:val="32"/>
        </w:rPr>
        <w:t>一、评标方法</w:t>
      </w:r>
    </w:p>
    <w:p>
      <w:pPr>
        <w:adjustRightInd/>
        <w:spacing w:line="360" w:lineRule="auto"/>
        <w:ind w:firstLine="472" w:firstLineChars="196"/>
        <w:rPr>
          <w:rFonts w:ascii="宋体" w:hAnsi="宋体" w:cs="宋体"/>
          <w:b/>
          <w:kern w:val="0"/>
          <w:sz w:val="24"/>
        </w:rPr>
      </w:pPr>
      <w:r>
        <w:rPr>
          <w:rFonts w:hint="eastAsia" w:ascii="宋体" w:hAnsi="宋体" w:cs="宋体"/>
          <w:b/>
          <w:kern w:val="0"/>
          <w:sz w:val="24"/>
        </w:rPr>
        <w:t>1.本项目采用综合评分法。</w:t>
      </w:r>
    </w:p>
    <w:p>
      <w:pPr>
        <w:snapToGrid w:val="0"/>
        <w:spacing w:line="360" w:lineRule="auto"/>
        <w:rPr>
          <w:rFonts w:ascii="宋体" w:hAnsi="宋体" w:cs="宋体"/>
          <w:b/>
          <w:sz w:val="32"/>
        </w:rPr>
      </w:pPr>
      <w:r>
        <w:rPr>
          <w:rFonts w:hint="eastAsia" w:ascii="宋体" w:hAnsi="宋体" w:cs="宋体"/>
          <w:b/>
          <w:sz w:val="32"/>
        </w:rPr>
        <w:t>二、评标标准</w:t>
      </w:r>
    </w:p>
    <w:p>
      <w:pPr>
        <w:spacing w:line="360" w:lineRule="auto"/>
        <w:ind w:firstLine="472" w:firstLineChars="196"/>
        <w:rPr>
          <w:rFonts w:ascii="宋体" w:hAnsi="宋体" w:cs="宋体"/>
          <w:b/>
          <w:sz w:val="24"/>
        </w:rPr>
      </w:pPr>
      <w:r>
        <w:rPr>
          <w:rFonts w:hint="eastAsia" w:ascii="宋体" w:hAnsi="宋体" w:cs="宋体"/>
          <w:b/>
          <w:sz w:val="24"/>
        </w:rPr>
        <w:t>2.评标标准：</w:t>
      </w:r>
      <w:r>
        <w:rPr>
          <w:rFonts w:hint="eastAsia" w:ascii="宋体" w:hAnsi="宋体" w:cs="宋体"/>
          <w:kern w:val="0"/>
          <w:sz w:val="24"/>
        </w:rPr>
        <w:t>见评标办法前附表。</w:t>
      </w:r>
    </w:p>
    <w:p>
      <w:pPr>
        <w:spacing w:line="360" w:lineRule="auto"/>
        <w:outlineLvl w:val="0"/>
        <w:rPr>
          <w:rFonts w:ascii="宋体" w:hAnsi="宋体" w:cs="宋体"/>
          <w:b/>
          <w:sz w:val="36"/>
          <w:szCs w:val="36"/>
        </w:rPr>
      </w:pPr>
      <w:r>
        <w:rPr>
          <w:rFonts w:hint="eastAsia" w:ascii="宋体" w:hAnsi="宋体" w:cs="宋体"/>
          <w:b/>
          <w:sz w:val="36"/>
          <w:szCs w:val="36"/>
        </w:rPr>
        <w:t>三、评标程序</w:t>
      </w:r>
    </w:p>
    <w:p>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pPr>
        <w:pStyle w:val="130"/>
        <w:spacing w:before="120"/>
        <w:ind w:firstLine="508" w:firstLineChars="212"/>
        <w:rPr>
          <w:rFonts w:ascii="宋体" w:hAnsi="宋体" w:cs="宋体"/>
          <w:kern w:val="0"/>
        </w:rPr>
      </w:pPr>
      <w:r>
        <w:rPr>
          <w:rFonts w:hint="eastAsia" w:ascii="宋体" w:hAnsi="宋体" w:cs="宋体"/>
          <w:kern w:val="0"/>
        </w:rPr>
        <w:t>3.4.1投标文件报价出现前后不一致的，按照下列规定修正：</w:t>
      </w:r>
    </w:p>
    <w:p>
      <w:pPr>
        <w:pStyle w:val="130"/>
        <w:spacing w:before="12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pPr>
        <w:pStyle w:val="130"/>
        <w:spacing w:before="12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pPr>
        <w:pStyle w:val="130"/>
        <w:spacing w:before="12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pPr>
        <w:pStyle w:val="130"/>
        <w:spacing w:before="12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pPr>
        <w:pStyle w:val="130"/>
        <w:spacing w:before="12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pPr>
        <w:pStyle w:val="130"/>
        <w:spacing w:before="12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pStyle w:val="130"/>
        <w:spacing w:before="120"/>
        <w:ind w:firstLine="480"/>
        <w:rPr>
          <w:rFonts w:ascii="宋体" w:hAnsi="宋体" w:cs="宋体"/>
          <w:kern w:val="0"/>
          <w:szCs w:val="24"/>
        </w:rPr>
      </w:pPr>
      <w:r>
        <w:rPr>
          <w:rFonts w:hint="eastAsia" w:ascii="宋体" w:hAnsi="宋体" w:cs="宋体"/>
          <w:kern w:val="0"/>
          <w:szCs w:val="24"/>
        </w:rPr>
        <w:t>3.4.5对于未预留份额专门面向中小企业的政府采购货物项目，以及预留份额政府采购货物项目中的非预留部分标项，对小型和微型企业的投标报价给予1</w:t>
      </w:r>
      <w:r>
        <w:rPr>
          <w:rFonts w:ascii="宋体" w:hAnsi="宋体" w:cs="宋体"/>
          <w:kern w:val="0"/>
          <w:szCs w:val="24"/>
        </w:rPr>
        <w:t>0</w:t>
      </w:r>
      <w:r>
        <w:rPr>
          <w:rFonts w:hint="eastAsia" w:ascii="宋体" w:hAnsi="宋体" w:cs="宋体"/>
          <w:kern w:val="0"/>
          <w:szCs w:val="24"/>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p>
    <w:p>
      <w:pPr>
        <w:spacing w:line="360" w:lineRule="auto"/>
        <w:ind w:firstLine="482" w:firstLineChars="200"/>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技术指标评审得分最高的投标人为排名第一的中标候选人。</w:t>
      </w:r>
    </w:p>
    <w:p>
      <w:pPr>
        <w:spacing w:line="360" w:lineRule="auto"/>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rPr>
          <w:rFonts w:ascii="宋体" w:hAnsi="宋体" w:cs="宋体"/>
          <w:b/>
          <w:sz w:val="32"/>
        </w:rPr>
      </w:pPr>
      <w:r>
        <w:rPr>
          <w:rFonts w:hint="eastAsia" w:ascii="宋体" w:hAnsi="宋体" w:cs="宋体"/>
          <w:b/>
          <w:sz w:val="32"/>
        </w:rPr>
        <w:t>四、评标中的其他事项</w:t>
      </w:r>
    </w:p>
    <w:p>
      <w:pPr>
        <w:pStyle w:val="130"/>
        <w:spacing w:before="12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5"/>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4.2.8报价明显低于其他通过符合性审查投标人的报价，有可能影响产品质量或者不能诚信履约的，未能按要求提供书面说明或者提交相关证明材料，不能证明其报价合理性的；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pPr>
        <w:pStyle w:val="3"/>
        <w:ind w:left="862" w:leftChars="205"/>
        <w:rPr>
          <w:rFonts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4.2.13 投标文件不满足招标文件的其它实质性要求的；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4.2.14法律、法规、规章（适用本市的）及省级以上规范性文件（适用本市的）规定的其他无效情形。</w:t>
      </w:r>
    </w:p>
    <w:p>
      <w:pPr>
        <w:pStyle w:val="25"/>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pPr>
        <w:pStyle w:val="25"/>
        <w:snapToGrid w:val="0"/>
        <w:spacing w:line="360" w:lineRule="auto"/>
        <w:rPr>
          <w:rFonts w:cs="宋体"/>
        </w:rPr>
      </w:pPr>
      <w:r>
        <w:rPr>
          <w:rFonts w:hint="eastAsia" w:cs="宋体"/>
        </w:rPr>
        <w:t>5.1符合专业条件的供应商或者对招标文件作实质响应的供应商不足3家的；</w:t>
      </w:r>
    </w:p>
    <w:p>
      <w:pPr>
        <w:pStyle w:val="25"/>
        <w:snapToGrid w:val="0"/>
        <w:spacing w:line="360" w:lineRule="auto"/>
        <w:rPr>
          <w:rFonts w:cs="宋体"/>
        </w:rPr>
      </w:pPr>
      <w:r>
        <w:rPr>
          <w:rFonts w:hint="eastAsia" w:cs="宋体"/>
        </w:rPr>
        <w:t>5.2出现影响采购公正的违法、违规行为的；</w:t>
      </w:r>
    </w:p>
    <w:p>
      <w:pPr>
        <w:pStyle w:val="25"/>
        <w:snapToGrid w:val="0"/>
        <w:spacing w:line="360" w:lineRule="auto"/>
        <w:rPr>
          <w:rFonts w:cs="宋体"/>
        </w:rPr>
      </w:pPr>
      <w:r>
        <w:rPr>
          <w:rFonts w:hint="eastAsia" w:cs="宋体"/>
        </w:rPr>
        <w:t>5.3投标人的报价均超过了采购预算，采购人不能支付的；</w:t>
      </w:r>
    </w:p>
    <w:p>
      <w:pPr>
        <w:pStyle w:val="25"/>
        <w:snapToGrid w:val="0"/>
        <w:spacing w:line="360" w:lineRule="auto"/>
        <w:rPr>
          <w:rFonts w:cs="宋体"/>
        </w:rPr>
      </w:pPr>
      <w:r>
        <w:rPr>
          <w:rFonts w:hint="eastAsia" w:cs="宋体"/>
        </w:rPr>
        <w:t>5.4因重大变故，采购任务取消的。</w:t>
      </w:r>
    </w:p>
    <w:p>
      <w:pPr>
        <w:pStyle w:val="25"/>
        <w:snapToGrid w:val="0"/>
        <w:spacing w:line="360" w:lineRule="auto"/>
        <w:rPr>
          <w:rFonts w:cs="宋体"/>
        </w:rPr>
      </w:pPr>
      <w:r>
        <w:rPr>
          <w:rFonts w:hint="eastAsia" w:cs="宋体"/>
        </w:rPr>
        <w:t>废标后，采购代理机构应当将废标理由通知所有投标人。</w:t>
      </w:r>
    </w:p>
    <w:p>
      <w:pPr>
        <w:pStyle w:val="25"/>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5"/>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pPr>
        <w:pStyle w:val="25"/>
        <w:snapToGrid w:val="0"/>
        <w:spacing w:line="360" w:lineRule="auto"/>
        <w:rPr>
          <w:rFonts w:cs="宋体"/>
        </w:rPr>
      </w:pPr>
      <w:r>
        <w:rPr>
          <w:rFonts w:hint="eastAsia" w:cs="宋体"/>
        </w:rPr>
        <w:t>7.1未确定中标供应商的，终止本次政府采购活动，重新开展政府采购活动。</w:t>
      </w:r>
    </w:p>
    <w:p>
      <w:pPr>
        <w:pStyle w:val="25"/>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pPr>
        <w:pStyle w:val="25"/>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pPr>
        <w:pStyle w:val="25"/>
        <w:snapToGrid w:val="0"/>
        <w:spacing w:line="360" w:lineRule="auto"/>
        <w:rPr>
          <w:rFonts w:cs="宋体"/>
        </w:rPr>
      </w:pPr>
      <w:r>
        <w:rPr>
          <w:rFonts w:hint="eastAsia" w:cs="宋体"/>
        </w:rPr>
        <w:t>7.4政府采购合同已经履行，给采购人、供应商造成损失的，由责任人承担赔偿责任。</w:t>
      </w:r>
    </w:p>
    <w:p>
      <w:pPr>
        <w:pStyle w:val="25"/>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pPr>
        <w:pStyle w:val="25"/>
        <w:snapToGrid w:val="0"/>
        <w:spacing w:line="360" w:lineRule="auto"/>
        <w:ind w:firstLine="0" w:firstLineChars="0"/>
        <w:rPr>
          <w:rFonts w:cs="宋体"/>
        </w:rPr>
      </w:pPr>
    </w:p>
    <w:bookmarkEnd w:id="30"/>
    <w:p>
      <w:pPr>
        <w:spacing w:line="360" w:lineRule="auto"/>
        <w:ind w:left="720" w:leftChars="343" w:firstLine="1084" w:firstLineChars="300"/>
        <w:outlineLvl w:val="0"/>
        <w:rPr>
          <w:rFonts w:ascii="宋体" w:hAnsi="宋体" w:cs="宋体"/>
          <w:b/>
          <w:sz w:val="36"/>
          <w:szCs w:val="36"/>
        </w:rPr>
      </w:pPr>
      <w:bookmarkStart w:id="396" w:name="_Toc86217003"/>
      <w:bookmarkStart w:id="397" w:name="第五部分"/>
    </w:p>
    <w:p>
      <w:pPr>
        <w:pStyle w:val="26"/>
        <w:ind w:firstLine="723"/>
        <w:rPr>
          <w:rFonts w:cs="宋体"/>
          <w:b/>
          <w:sz w:val="36"/>
          <w:szCs w:val="36"/>
        </w:rPr>
      </w:pPr>
    </w:p>
    <w:p>
      <w:pPr>
        <w:rPr>
          <w:rFonts w:ascii="宋体" w:hAnsi="宋体" w:cs="宋体"/>
          <w:b/>
          <w:sz w:val="36"/>
          <w:szCs w:val="36"/>
        </w:rPr>
      </w:pPr>
    </w:p>
    <w:p>
      <w:pPr>
        <w:pStyle w:val="26"/>
        <w:ind w:firstLine="723"/>
        <w:rPr>
          <w:rFonts w:cs="宋体"/>
          <w:b/>
          <w:sz w:val="36"/>
          <w:szCs w:val="36"/>
        </w:rPr>
      </w:pPr>
    </w:p>
    <w:p>
      <w:pPr>
        <w:rPr>
          <w:rFonts w:ascii="宋体" w:hAnsi="宋体" w:cs="宋体"/>
          <w:b/>
          <w:sz w:val="36"/>
          <w:szCs w:val="36"/>
        </w:rPr>
      </w:pPr>
    </w:p>
    <w:p>
      <w:pPr>
        <w:rPr>
          <w:rFonts w:ascii="宋体" w:hAnsi="宋体" w:cs="宋体"/>
          <w:b/>
          <w:sz w:val="36"/>
          <w:szCs w:val="36"/>
        </w:rPr>
      </w:pPr>
    </w:p>
    <w:p>
      <w:pPr>
        <w:widowControl/>
        <w:adjustRightInd/>
        <w:jc w:val="left"/>
        <w:rPr>
          <w:rFonts w:ascii="宋体" w:hAnsi="宋体" w:cs="宋体"/>
          <w:b/>
          <w:sz w:val="36"/>
          <w:szCs w:val="36"/>
        </w:rPr>
      </w:pPr>
      <w:r>
        <w:rPr>
          <w:rFonts w:ascii="宋体" w:hAnsi="宋体" w:cs="宋体"/>
          <w:b/>
          <w:sz w:val="36"/>
          <w:szCs w:val="36"/>
        </w:rPr>
        <w:br w:type="page"/>
      </w:r>
    </w:p>
    <w:p>
      <w:pPr>
        <w:rPr>
          <w:rFonts w:ascii="宋体" w:hAnsi="宋体" w:cs="宋体"/>
          <w:b/>
          <w:sz w:val="36"/>
          <w:szCs w:val="36"/>
        </w:rPr>
      </w:pPr>
    </w:p>
    <w:p>
      <w:pPr>
        <w:spacing w:line="360" w:lineRule="auto"/>
        <w:ind w:left="720" w:leftChars="343" w:firstLine="1084" w:firstLineChars="300"/>
        <w:outlineLvl w:val="0"/>
        <w:rPr>
          <w:rFonts w:ascii="宋体" w:hAnsi="宋体" w:cs="宋体"/>
          <w:b/>
          <w:sz w:val="36"/>
          <w:szCs w:val="36"/>
        </w:rPr>
      </w:pPr>
      <w:r>
        <w:rPr>
          <w:rFonts w:hint="eastAsia" w:ascii="宋体" w:hAnsi="宋体" w:cs="宋体"/>
          <w:b/>
          <w:sz w:val="36"/>
          <w:szCs w:val="36"/>
        </w:rPr>
        <w:t>第五部分 拟签订的合同文本</w:t>
      </w:r>
    </w:p>
    <w:p>
      <w:pPr>
        <w:rPr>
          <w:rFonts w:ascii="宋体" w:hAnsi="宋体" w:cs="宋体"/>
          <w:sz w:val="24"/>
          <w:u w:val="single"/>
        </w:rPr>
      </w:pPr>
      <w:r>
        <w:rPr>
          <w:rFonts w:hint="eastAsia" w:ascii="宋体" w:hAnsi="宋体" w:cs="宋体"/>
          <w:sz w:val="24"/>
        </w:rPr>
        <w:t>合同编号：</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pPr>
        <w:spacing w:line="480" w:lineRule="auto"/>
        <w:jc w:val="center"/>
        <w:rPr>
          <w:rFonts w:ascii="宋体" w:hAnsi="宋体" w:cs="宋体"/>
          <w:b/>
          <w:sz w:val="36"/>
          <w:szCs w:val="36"/>
        </w:rPr>
      </w:pPr>
      <w:r>
        <w:rPr>
          <w:rFonts w:hint="eastAsia" w:ascii="宋体" w:hAnsi="宋体" w:cs="宋体"/>
          <w:b/>
          <w:sz w:val="36"/>
          <w:szCs w:val="36"/>
        </w:rPr>
        <w:t>（货物类）</w:t>
      </w:r>
    </w:p>
    <w:p>
      <w:pPr>
        <w:pStyle w:val="701"/>
        <w:rPr>
          <w:rFonts w:ascii="宋体" w:hAnsi="宋体" w:cs="宋体"/>
          <w:szCs w:val="24"/>
        </w:rPr>
      </w:pPr>
    </w:p>
    <w:p>
      <w:pPr>
        <w:pStyle w:val="701"/>
        <w:rPr>
          <w:rFonts w:ascii="宋体" w:hAnsi="宋体" w:cs="宋体"/>
          <w:szCs w:val="24"/>
        </w:rPr>
      </w:pPr>
    </w:p>
    <w:p>
      <w:pPr>
        <w:pStyle w:val="701"/>
        <w:jc w:val="center"/>
        <w:rPr>
          <w:rFonts w:ascii="宋体" w:hAnsi="宋体" w:cs="宋体"/>
          <w:szCs w:val="24"/>
        </w:rPr>
      </w:pPr>
    </w:p>
    <w:p>
      <w:pPr>
        <w:pStyle w:val="701"/>
        <w:ind w:firstLine="2843" w:firstLineChars="1180"/>
        <w:rPr>
          <w:rFonts w:ascii="宋体" w:hAnsi="宋体" w:cs="宋体"/>
          <w:b/>
          <w:szCs w:val="24"/>
        </w:rPr>
      </w:pPr>
      <w:r>
        <w:rPr>
          <w:rFonts w:hint="eastAsia" w:ascii="宋体" w:hAnsi="宋体" w:cs="宋体"/>
          <w:b/>
          <w:szCs w:val="24"/>
        </w:rPr>
        <w:t>第一部分 合同书</w:t>
      </w:r>
    </w:p>
    <w:p>
      <w:pPr>
        <w:pStyle w:val="701"/>
        <w:rPr>
          <w:rFonts w:ascii="宋体" w:hAnsi="宋体" w:cs="宋体"/>
          <w:szCs w:val="24"/>
        </w:rPr>
      </w:pPr>
    </w:p>
    <w:p>
      <w:pPr>
        <w:pStyle w:val="701"/>
        <w:rPr>
          <w:rFonts w:ascii="宋体" w:hAnsi="宋体" w:cs="宋体"/>
          <w:szCs w:val="24"/>
        </w:rPr>
      </w:pPr>
    </w:p>
    <w:p>
      <w:pPr>
        <w:spacing w:before="120" w:line="22" w:lineRule="atLeast"/>
        <w:rPr>
          <w:rFonts w:ascii="宋体" w:hAnsi="宋体" w:cs="宋体"/>
          <w:sz w:val="24"/>
        </w:rPr>
      </w:pPr>
    </w:p>
    <w:p>
      <w:pPr>
        <w:spacing w:before="120" w:line="22" w:lineRule="atLeast"/>
        <w:ind w:left="960"/>
        <w:rPr>
          <w:rFonts w:ascii="宋体" w:hAnsi="宋体" w:cs="宋体"/>
          <w:sz w:val="24"/>
        </w:rPr>
      </w:pPr>
      <w:r>
        <w:rPr>
          <w:rFonts w:hint="eastAsia" w:ascii="宋体" w:hAnsi="宋体" w:cs="宋体"/>
          <w:sz w:val="24"/>
        </w:rPr>
        <w:t>项目名称：</w:t>
      </w:r>
    </w:p>
    <w:p>
      <w:pPr>
        <w:pStyle w:val="598"/>
        <w:spacing w:before="120" w:line="22" w:lineRule="atLeast"/>
        <w:rPr>
          <w:rFonts w:ascii="宋体" w:hAnsi="宋体" w:eastAsia="宋体" w:cs="宋体"/>
          <w:szCs w:val="24"/>
        </w:rPr>
      </w:pPr>
    </w:p>
    <w:p>
      <w:pPr>
        <w:pStyle w:val="598"/>
        <w:spacing w:before="120" w:line="22" w:lineRule="atLeast"/>
        <w:rPr>
          <w:rFonts w:ascii="宋体" w:hAnsi="宋体" w:eastAsia="宋体" w:cs="宋体"/>
          <w:szCs w:val="24"/>
        </w:rPr>
      </w:pP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甲方：</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乙方：</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签订日期：年月日</w:t>
      </w:r>
    </w:p>
    <w:p>
      <w:pPr>
        <w:widowControl/>
        <w:jc w:val="left"/>
        <w:rPr>
          <w:rFonts w:ascii="宋体" w:hAnsi="宋体" w:cs="宋体"/>
          <w:kern w:val="0"/>
          <w:sz w:val="24"/>
        </w:rPr>
        <w:sectPr>
          <w:pgSz w:w="11905" w:h="16838"/>
          <w:pgMar w:top="1474" w:right="1814" w:bottom="1474" w:left="1814" w:header="851" w:footer="850" w:gutter="0"/>
          <w:cols w:space="0" w:num="1"/>
        </w:sectPr>
      </w:pPr>
    </w:p>
    <w:p>
      <w:pPr>
        <w:spacing w:line="560" w:lineRule="exact"/>
        <w:ind w:firstLine="480" w:firstLineChars="200"/>
        <w:rPr>
          <w:rFonts w:ascii="宋体" w:hAnsi="宋体" w:cs="宋体"/>
          <w:sz w:val="24"/>
        </w:rPr>
      </w:pPr>
      <w:r>
        <w:rPr>
          <w:rFonts w:hint="eastAsia" w:ascii="宋体" w:hAnsi="宋体" w:cs="宋体"/>
          <w:sz w:val="24"/>
          <w:lang w:val="zh-CN"/>
        </w:rPr>
        <w:t>年月日</w:t>
      </w:r>
      <w:r>
        <w:rPr>
          <w:rFonts w:hint="eastAsia" w:ascii="宋体" w:hAnsi="宋体" w:cs="宋体"/>
          <w:sz w:val="24"/>
        </w:rPr>
        <w:t>，</w:t>
      </w:r>
      <w:r>
        <w:rPr>
          <w:rFonts w:hint="eastAsia" w:ascii="宋体" w:hAnsi="宋体" w:cs="宋体"/>
          <w:sz w:val="24"/>
          <w:u w:val="single"/>
        </w:rPr>
        <w:t xml:space="preserve">  （采购人）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（项目名称、编号）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560" w:lineRule="exact"/>
        <w:ind w:firstLine="480" w:firstLineChars="200"/>
        <w:rPr>
          <w:rFonts w:ascii="宋体" w:hAnsi="宋体" w:cs="宋体"/>
          <w:sz w:val="24"/>
        </w:rPr>
      </w:pPr>
      <w:r>
        <w:rPr>
          <w:rFonts w:hint="eastAsia" w:ascii="宋体" w:hAnsi="宋体" w:cs="宋体"/>
          <w:sz w:val="24"/>
          <w:lang w:val="zh-CN"/>
        </w:rPr>
        <w:t>根据《中华人民共和国民法典》《中华人民共和国政府采购法》等相关法律法规之规定，按照平等、自愿、公平、诚实信用和绿色的原则，经</w:t>
      </w:r>
      <w:r>
        <w:rPr>
          <w:rFonts w:hint="eastAsia" w:ascii="宋体" w:hAnsi="宋体" w:cs="宋体"/>
          <w:sz w:val="24"/>
          <w:u w:val="single"/>
        </w:rPr>
        <w:t xml:space="preserve">   （采购人）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560" w:lineRule="exact"/>
        <w:ind w:firstLine="482" w:firstLineChars="200"/>
        <w:outlineLvl w:val="0"/>
        <w:rPr>
          <w:rFonts w:ascii="宋体" w:hAnsi="宋体" w:cs="宋体"/>
          <w:b/>
          <w:sz w:val="24"/>
        </w:rPr>
      </w:pPr>
      <w:bookmarkStart w:id="398" w:name="_Toc3029"/>
      <w:bookmarkStart w:id="399" w:name="_Toc24059"/>
      <w:bookmarkStart w:id="400" w:name="_Toc2232"/>
      <w:r>
        <w:rPr>
          <w:rFonts w:hint="eastAsia" w:ascii="宋体" w:hAnsi="宋体" w:cs="宋体"/>
          <w:b/>
          <w:sz w:val="24"/>
        </w:rPr>
        <w:t>1.1 合同组成部分</w:t>
      </w:r>
      <w:bookmarkEnd w:id="398"/>
      <w:bookmarkEnd w:id="399"/>
      <w:bookmarkEnd w:id="400"/>
    </w:p>
    <w:p>
      <w:pPr>
        <w:spacing w:line="56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rPr>
      </w:pPr>
      <w:r>
        <w:rPr>
          <w:rFonts w:hint="eastAsia" w:ascii="宋体" w:hAnsi="宋体" w:cs="宋体"/>
          <w:sz w:val="24"/>
        </w:rPr>
        <w:t>1.1.1 本合同及其补充合同、变更协议；</w:t>
      </w:r>
    </w:p>
    <w:p>
      <w:pPr>
        <w:spacing w:line="560" w:lineRule="exact"/>
        <w:ind w:firstLine="480" w:firstLineChars="200"/>
        <w:rPr>
          <w:rFonts w:ascii="宋体" w:hAnsi="宋体" w:cs="宋体"/>
          <w:sz w:val="24"/>
        </w:rPr>
      </w:pPr>
      <w:r>
        <w:rPr>
          <w:rFonts w:hint="eastAsia" w:ascii="宋体" w:hAnsi="宋体" w:cs="宋体"/>
          <w:sz w:val="24"/>
        </w:rPr>
        <w:t>1.1.2 中标或者成交通知书；</w:t>
      </w:r>
    </w:p>
    <w:p>
      <w:pPr>
        <w:spacing w:line="560" w:lineRule="exact"/>
        <w:ind w:firstLine="480" w:firstLineChars="200"/>
        <w:rPr>
          <w:rFonts w:ascii="宋体" w:hAnsi="宋体" w:cs="宋体"/>
          <w:sz w:val="24"/>
        </w:rPr>
      </w:pPr>
      <w:r>
        <w:rPr>
          <w:rFonts w:hint="eastAsia" w:ascii="宋体" w:hAnsi="宋体" w:cs="宋体"/>
          <w:sz w:val="24"/>
        </w:rPr>
        <w:t>1.1.3 投标或者响应文件（含澄清或者说明文件）；</w:t>
      </w:r>
    </w:p>
    <w:p>
      <w:pPr>
        <w:spacing w:line="560" w:lineRule="exact"/>
        <w:ind w:firstLine="480" w:firstLineChars="200"/>
        <w:rPr>
          <w:rFonts w:ascii="宋体" w:hAnsi="宋体" w:cs="宋体"/>
          <w:sz w:val="24"/>
        </w:rPr>
      </w:pPr>
      <w:r>
        <w:rPr>
          <w:rFonts w:hint="eastAsia" w:ascii="宋体" w:hAnsi="宋体" w:cs="宋体"/>
          <w:sz w:val="24"/>
        </w:rPr>
        <w:t>1.1.4 采购文件（含澄清或者修改文件）；</w:t>
      </w:r>
    </w:p>
    <w:p>
      <w:pPr>
        <w:spacing w:line="560" w:lineRule="exact"/>
        <w:ind w:firstLine="480" w:firstLineChars="200"/>
        <w:rPr>
          <w:rFonts w:ascii="宋体" w:hAnsi="宋体" w:cs="宋体"/>
          <w:sz w:val="24"/>
        </w:rPr>
      </w:pPr>
      <w:r>
        <w:rPr>
          <w:rFonts w:hint="eastAsia" w:ascii="宋体" w:hAnsi="宋体" w:cs="宋体"/>
          <w:sz w:val="24"/>
        </w:rPr>
        <w:t>1.1.5 其他相关采购文件。</w:t>
      </w:r>
    </w:p>
    <w:p>
      <w:pPr>
        <w:spacing w:line="560" w:lineRule="exact"/>
        <w:ind w:firstLine="482" w:firstLineChars="200"/>
        <w:outlineLvl w:val="0"/>
        <w:rPr>
          <w:rFonts w:ascii="宋体" w:hAnsi="宋体" w:cs="宋体"/>
          <w:b/>
          <w:sz w:val="24"/>
        </w:rPr>
      </w:pPr>
      <w:bookmarkStart w:id="401" w:name="_Toc21295"/>
      <w:bookmarkStart w:id="402" w:name="_Toc27126"/>
      <w:bookmarkStart w:id="403" w:name="_Toc24300"/>
      <w:r>
        <w:rPr>
          <w:rFonts w:hint="eastAsia" w:ascii="宋体" w:hAnsi="宋体" w:cs="宋体"/>
          <w:b/>
          <w:sz w:val="24"/>
        </w:rPr>
        <w:t>1.2 货物</w:t>
      </w:r>
      <w:bookmarkEnd w:id="401"/>
      <w:bookmarkEnd w:id="402"/>
      <w:bookmarkEnd w:id="403"/>
    </w:p>
    <w:p>
      <w:pPr>
        <w:spacing w:line="560" w:lineRule="exact"/>
        <w:ind w:firstLine="480" w:firstLineChars="200"/>
        <w:rPr>
          <w:rFonts w:ascii="宋体" w:hAnsi="宋体" w:cs="宋体"/>
          <w:sz w:val="24"/>
          <w:u w:val="single"/>
        </w:rPr>
      </w:pPr>
      <w:r>
        <w:rPr>
          <w:rFonts w:hint="eastAsia" w:ascii="宋体" w:hAnsi="宋体" w:cs="宋体"/>
          <w:sz w:val="24"/>
        </w:rPr>
        <w:t>1.2.1 货物名称、品牌、规格型号、花色：；</w:t>
      </w:r>
    </w:p>
    <w:p>
      <w:pPr>
        <w:spacing w:line="560" w:lineRule="exact"/>
        <w:ind w:firstLine="480" w:firstLineChars="200"/>
        <w:rPr>
          <w:rFonts w:ascii="宋体" w:hAnsi="宋体" w:cs="宋体"/>
          <w:sz w:val="24"/>
          <w:u w:val="single"/>
        </w:rPr>
      </w:pPr>
      <w:r>
        <w:rPr>
          <w:rFonts w:hint="eastAsia" w:ascii="宋体" w:hAnsi="宋体" w:cs="宋体"/>
          <w:sz w:val="24"/>
        </w:rPr>
        <w:t>1.2.2 货物数量：；</w:t>
      </w:r>
    </w:p>
    <w:p>
      <w:pPr>
        <w:spacing w:line="560" w:lineRule="exact"/>
        <w:ind w:firstLine="480" w:firstLineChars="200"/>
        <w:rPr>
          <w:rFonts w:ascii="宋体" w:hAnsi="宋体" w:cs="宋体"/>
          <w:sz w:val="24"/>
          <w:u w:val="single"/>
        </w:rPr>
      </w:pPr>
      <w:r>
        <w:rPr>
          <w:rFonts w:hint="eastAsia" w:ascii="宋体" w:hAnsi="宋体" w:cs="宋体"/>
          <w:sz w:val="24"/>
        </w:rPr>
        <w:t>1.2.3 货物质量：</w:t>
      </w:r>
      <w:r>
        <w:rPr>
          <w:rFonts w:hint="eastAsia" w:ascii="宋体" w:hAnsi="宋体" w:cs="宋体"/>
          <w:sz w:val="24"/>
          <w:u w:val="single"/>
        </w:rPr>
        <w:t>　　　　　　　　　                      　      ；</w:t>
      </w:r>
    </w:p>
    <w:p>
      <w:pPr>
        <w:spacing w:line="560" w:lineRule="exact"/>
        <w:ind w:firstLine="482" w:firstLineChars="200"/>
        <w:outlineLvl w:val="0"/>
        <w:rPr>
          <w:rFonts w:ascii="宋体" w:hAnsi="宋体" w:cs="宋体"/>
          <w:b/>
          <w:sz w:val="24"/>
        </w:rPr>
      </w:pPr>
      <w:bookmarkStart w:id="404" w:name="_Toc21551"/>
      <w:bookmarkStart w:id="405" w:name="_Toc23292"/>
      <w:bookmarkStart w:id="406" w:name="_Toc21631"/>
      <w:r>
        <w:rPr>
          <w:rFonts w:hint="eastAsia" w:ascii="宋体" w:hAnsi="宋体" w:cs="宋体"/>
          <w:b/>
          <w:sz w:val="24"/>
        </w:rPr>
        <w:t>1.3 价款</w:t>
      </w:r>
      <w:bookmarkEnd w:id="404"/>
      <w:bookmarkEnd w:id="405"/>
      <w:bookmarkEnd w:id="406"/>
    </w:p>
    <w:p>
      <w:pPr>
        <w:spacing w:line="560" w:lineRule="exact"/>
        <w:ind w:firstLine="480" w:firstLineChars="200"/>
        <w:rPr>
          <w:rFonts w:ascii="宋体" w:hAnsi="宋体" w:cs="宋体"/>
          <w:sz w:val="24"/>
        </w:rPr>
      </w:pPr>
      <w:r>
        <w:rPr>
          <w:rFonts w:hint="eastAsia" w:ascii="宋体" w:hAnsi="宋体" w:cs="宋体"/>
          <w:sz w:val="24"/>
        </w:rPr>
        <w:t>本合同总价（含税）为：￥元（大写：元人民币）。</w:t>
      </w:r>
    </w:p>
    <w:p>
      <w:pPr>
        <w:spacing w:line="560" w:lineRule="exact"/>
        <w:ind w:firstLine="480" w:firstLineChars="200"/>
        <w:rPr>
          <w:rFonts w:ascii="宋体" w:hAnsi="宋体" w:cs="宋体"/>
          <w:sz w:val="24"/>
          <w:u w:val="single"/>
        </w:rPr>
      </w:pPr>
      <w:r>
        <w:rPr>
          <w:rFonts w:hint="eastAsia" w:ascii="宋体" w:hAnsi="宋体" w:cs="宋体"/>
          <w:sz w:val="24"/>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jc w:val="center"/>
              <w:rPr>
                <w:rFonts w:hAnsi="宋体" w:cs="宋体"/>
                <w:sz w:val="24"/>
                <w:szCs w:val="24"/>
              </w:rPr>
            </w:pPr>
            <w:r>
              <w:rPr>
                <w:rFonts w:hint="eastAsia" w:hAnsi="宋体" w:cs="宋体"/>
                <w:sz w:val="24"/>
                <w:szCs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r>
              <w:rPr>
                <w:rFonts w:hint="eastAsia" w:hAnsi="宋体" w:cs="宋体"/>
                <w:sz w:val="24"/>
                <w:szCs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jc w:val="center"/>
              <w:rPr>
                <w:rFonts w:hAnsi="宋体" w:cs="宋体"/>
                <w:sz w:val="24"/>
                <w:szCs w:val="24"/>
              </w:rPr>
            </w:pPr>
            <w:r>
              <w:rPr>
                <w:rFonts w:hint="eastAsia"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r>
              <w:rPr>
                <w:rFonts w:hint="eastAsia" w:hAnsi="宋体" w:cs="宋体"/>
                <w:sz w:val="24"/>
                <w:szCs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pPr>
              <w:pStyle w:val="319"/>
              <w:spacing w:line="560" w:lineRule="exact"/>
              <w:ind w:firstLine="200"/>
              <w:jc w:val="center"/>
              <w:rPr>
                <w:rFonts w:hAnsi="宋体" w:cs="宋体"/>
                <w:sz w:val="24"/>
                <w:szCs w:val="24"/>
              </w:rPr>
            </w:pPr>
          </w:p>
        </w:tc>
      </w:tr>
    </w:tbl>
    <w:p>
      <w:pPr>
        <w:pStyle w:val="959"/>
        <w:spacing w:before="120" w:beforeAutospacing="0" w:after="0" w:afterAutospacing="0" w:line="360" w:lineRule="auto"/>
        <w:ind w:firstLine="480"/>
        <w:rPr>
          <w:b/>
        </w:rPr>
      </w:pPr>
      <w:bookmarkStart w:id="407" w:name="_Toc1814"/>
      <w:bookmarkStart w:id="408" w:name="_Toc22618"/>
      <w:bookmarkStart w:id="409" w:name="_Toc10340"/>
      <w:r>
        <w:rPr>
          <w:rFonts w:hint="eastAsia"/>
          <w:b/>
        </w:rPr>
        <w:t>1.4履约保证金：无</w:t>
      </w:r>
    </w:p>
    <w:p>
      <w:pPr>
        <w:spacing w:line="560" w:lineRule="exact"/>
        <w:ind w:firstLine="482" w:firstLineChars="200"/>
        <w:outlineLvl w:val="0"/>
        <w:rPr>
          <w:rFonts w:ascii="宋体" w:hAnsi="宋体" w:cs="宋体"/>
          <w:b/>
          <w:sz w:val="24"/>
        </w:rPr>
      </w:pPr>
      <w:r>
        <w:rPr>
          <w:rFonts w:hint="eastAsia" w:ascii="宋体" w:hAnsi="宋体" w:cs="宋体"/>
          <w:b/>
          <w:sz w:val="24"/>
        </w:rPr>
        <w:t>1.5</w:t>
      </w:r>
      <w:bookmarkEnd w:id="407"/>
      <w:bookmarkEnd w:id="408"/>
      <w:bookmarkEnd w:id="409"/>
      <w:r>
        <w:rPr>
          <w:rFonts w:hint="eastAsia" w:ascii="宋体" w:hAnsi="宋体" w:cs="宋体"/>
          <w:b/>
          <w:sz w:val="24"/>
        </w:rPr>
        <w:t>预付款</w:t>
      </w:r>
    </w:p>
    <w:p>
      <w:pPr>
        <w:pStyle w:val="959"/>
        <w:spacing w:before="120" w:beforeAutospacing="0" w:after="0" w:afterAutospacing="0" w:line="360" w:lineRule="auto"/>
        <w:ind w:firstLine="480"/>
      </w:pPr>
      <w:r>
        <w:rPr>
          <w:rFonts w:hint="eastAsia"/>
        </w:rPr>
        <w:t>甲方（是</w:t>
      </w:r>
      <w:r>
        <w:rPr>
          <w:rFonts w:hint="eastAsia" w:ascii="仿宋" w:hAnsi="仿宋" w:eastAsia="仿宋" w:cs="仿宋"/>
        </w:rPr>
        <w:t>/</w:t>
      </w:r>
      <w:r>
        <w:rPr>
          <w:rFonts w:hint="eastAsia"/>
        </w:rPr>
        <w:t>否）需要支付预付款。若需要支付预付款的，则：</w:t>
      </w:r>
    </w:p>
    <w:p>
      <w:pPr>
        <w:spacing w:line="560" w:lineRule="exact"/>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b/>
          <w:i/>
          <w:sz w:val="24"/>
          <w:u w:val="single"/>
        </w:rPr>
        <w:t>合同专用条款</w:t>
      </w:r>
      <w:r>
        <w:rPr>
          <w:rFonts w:hint="eastAsia" w:ascii="宋体" w:hAnsi="宋体" w:cs="宋体"/>
          <w:kern w:val="0"/>
          <w:sz w:val="24"/>
        </w:rPr>
        <w:t>；</w:t>
      </w:r>
    </w:p>
    <w:p>
      <w:pPr>
        <w:pStyle w:val="959"/>
        <w:spacing w:before="120" w:beforeAutospacing="0" w:after="0" w:afterAutospacing="0" w:line="360" w:lineRule="auto"/>
        <w:ind w:firstLine="480"/>
      </w:pPr>
      <w:r>
        <w:rPr>
          <w:rFonts w:hint="eastAsia"/>
        </w:rPr>
        <w:t>1.5.2预付款的扣回方式详见</w:t>
      </w:r>
      <w:r>
        <w:rPr>
          <w:rFonts w:hint="eastAsia"/>
          <w:b/>
          <w:i/>
          <w:u w:val="single"/>
        </w:rPr>
        <w:t>合同专用条款</w:t>
      </w:r>
      <w:r>
        <w:rPr>
          <w:rFonts w:hint="eastAsia"/>
        </w:rPr>
        <w:t>；</w:t>
      </w:r>
    </w:p>
    <w:p>
      <w:pPr>
        <w:pStyle w:val="959"/>
        <w:spacing w:before="120" w:beforeAutospacing="0" w:after="0" w:afterAutospacing="0" w:line="360" w:lineRule="auto"/>
        <w:ind w:firstLine="480"/>
        <w:rPr>
          <w:u w:val="single"/>
        </w:rPr>
      </w:pPr>
      <w:r>
        <w:rPr>
          <w:rFonts w:hint="eastAsia"/>
        </w:rPr>
        <w:t>1.5.3预付款的担保措施详见</w:t>
      </w:r>
      <w:r>
        <w:rPr>
          <w:rFonts w:hint="eastAsia"/>
          <w:b/>
          <w:i/>
          <w:u w:val="single"/>
        </w:rPr>
        <w:t>合同专用条款</w:t>
      </w:r>
      <w:r>
        <w:rPr>
          <w:rFonts w:hint="eastAsia"/>
        </w:rPr>
        <w:t>。</w:t>
      </w:r>
    </w:p>
    <w:p>
      <w:pPr>
        <w:pStyle w:val="959"/>
        <w:spacing w:before="120" w:beforeAutospacing="0" w:after="0" w:afterAutospacing="0" w:line="360" w:lineRule="auto"/>
        <w:ind w:firstLine="480"/>
        <w:rPr>
          <w:b/>
          <w:bCs/>
        </w:rPr>
      </w:pPr>
      <w:r>
        <w:rPr>
          <w:rFonts w:hint="eastAsia"/>
          <w:b/>
          <w:bCs/>
        </w:rPr>
        <w:t>1.6资金支付</w:t>
      </w:r>
    </w:p>
    <w:p>
      <w:pPr>
        <w:pStyle w:val="959"/>
        <w:spacing w:before="12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560" w:lineRule="exact"/>
        <w:ind w:firstLine="480" w:firstLineChars="200"/>
        <w:outlineLvl w:val="0"/>
        <w:rPr>
          <w:rFonts w:ascii="宋体" w:hAnsi="宋体" w:cs="宋体"/>
          <w:sz w:val="24"/>
        </w:rPr>
      </w:pPr>
      <w:r>
        <w:rPr>
          <w:rFonts w:hint="eastAsia" w:ascii="宋体" w:hAnsi="宋体" w:cs="宋体"/>
          <w:sz w:val="24"/>
        </w:rPr>
        <w:t>1.6.2资金支付的方式、时间和条件详见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10" w:name="_Toc19304"/>
      <w:bookmarkStart w:id="411" w:name="_Toc32071"/>
      <w:bookmarkStart w:id="412" w:name="_Toc2846"/>
      <w:r>
        <w:rPr>
          <w:rFonts w:hint="eastAsia" w:ascii="宋体" w:hAnsi="宋体" w:cs="宋体"/>
          <w:b/>
          <w:sz w:val="24"/>
        </w:rPr>
        <w:t>1.7货物交付期限、地点和方式</w:t>
      </w:r>
      <w:bookmarkEnd w:id="410"/>
      <w:bookmarkEnd w:id="411"/>
      <w:bookmarkEnd w:id="412"/>
    </w:p>
    <w:p>
      <w:pPr>
        <w:spacing w:line="560" w:lineRule="exact"/>
        <w:ind w:firstLine="480" w:firstLineChars="200"/>
        <w:rPr>
          <w:rFonts w:ascii="宋体" w:hAnsi="宋体" w:cs="宋体"/>
          <w:sz w:val="24"/>
          <w:u w:val="single"/>
        </w:rPr>
      </w:pPr>
      <w:r>
        <w:rPr>
          <w:rFonts w:hint="eastAsia" w:ascii="宋体" w:hAnsi="宋体" w:cs="宋体"/>
          <w:sz w:val="24"/>
        </w:rPr>
        <w:t>1.7.1 交付期限：详见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1.7.2 交付地点：</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1.7.3 交付方式：</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13" w:name="_Toc27250"/>
      <w:bookmarkStart w:id="414" w:name="_Toc21423"/>
      <w:bookmarkStart w:id="415" w:name="_Toc19554"/>
      <w:r>
        <w:rPr>
          <w:rFonts w:hint="eastAsia" w:ascii="宋体" w:hAnsi="宋体" w:cs="宋体"/>
          <w:b/>
          <w:sz w:val="24"/>
        </w:rPr>
        <w:t>1.8违约责任</w:t>
      </w:r>
      <w:bookmarkEnd w:id="413"/>
      <w:bookmarkEnd w:id="414"/>
      <w:bookmarkEnd w:id="415"/>
    </w:p>
    <w:p>
      <w:pPr>
        <w:spacing w:line="560" w:lineRule="exact"/>
        <w:ind w:firstLine="480" w:firstLineChars="200"/>
        <w:rPr>
          <w:rFonts w:ascii="宋体" w:hAnsi="宋体" w:cs="宋体"/>
          <w:sz w:val="24"/>
        </w:rPr>
      </w:pPr>
      <w:r>
        <w:rPr>
          <w:rFonts w:hint="eastAsia" w:ascii="宋体" w:hAnsi="宋体" w:cs="宋体"/>
          <w:sz w:val="24"/>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u w:val="single"/>
        </w:rPr>
        <w:t xml:space="preserve">  0.05</w:t>
      </w:r>
      <w:r>
        <w:rPr>
          <w:rFonts w:hint="eastAsia" w:ascii="宋体" w:hAnsi="宋体" w:cs="宋体"/>
          <w:kern w:val="0"/>
          <w:sz w:val="24"/>
          <w:u w:val="single"/>
        </w:rPr>
        <w:t>（可根据情况修改）</w:t>
      </w:r>
      <w:r>
        <w:rPr>
          <w:rFonts w:hint="eastAsia" w:ascii="宋体" w:hAnsi="宋体" w:cs="宋体"/>
          <w:sz w:val="24"/>
        </w:rPr>
        <w:t>%计算，最高限额为本合同总价的</w:t>
      </w:r>
      <w:r>
        <w:rPr>
          <w:rFonts w:hint="eastAsia" w:ascii="宋体" w:hAnsi="宋体" w:cs="宋体"/>
          <w:sz w:val="24"/>
          <w:u w:val="single"/>
        </w:rPr>
        <w:t xml:space="preserve"> 20   </w:t>
      </w:r>
      <w:r>
        <w:rPr>
          <w:rFonts w:hint="eastAsia" w:ascii="宋体" w:hAnsi="宋体" w:cs="宋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rPr>
      </w:pPr>
      <w:r>
        <w:rPr>
          <w:rFonts w:hint="eastAsia" w:ascii="宋体" w:hAnsi="宋体" w:cs="宋体"/>
          <w:sz w:val="24"/>
        </w:rPr>
        <w:t>1.8.2 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w:t>
      </w:r>
      <w:r>
        <w:rPr>
          <w:rFonts w:hint="eastAsia" w:ascii="宋体" w:hAnsi="宋体" w:cs="宋体"/>
          <w:kern w:val="0"/>
          <w:sz w:val="24"/>
          <w:u w:val="single"/>
        </w:rPr>
        <w:t>（可根据情况修改）</w:t>
      </w:r>
      <w:r>
        <w:rPr>
          <w:rFonts w:hint="eastAsia" w:ascii="宋体" w:hAnsi="宋体" w:cs="宋体"/>
          <w:sz w:val="24"/>
        </w:rPr>
        <w:t>%计算，最高限额为本合同总价的</w:t>
      </w:r>
      <w:r>
        <w:rPr>
          <w:rFonts w:hint="eastAsia" w:ascii="宋体" w:hAnsi="宋体" w:cs="宋体"/>
          <w:sz w:val="24"/>
          <w:u w:val="single"/>
        </w:rPr>
        <w:t xml:space="preserve">   20   </w:t>
      </w:r>
      <w:r>
        <w:rPr>
          <w:rFonts w:hint="eastAsia" w:ascii="宋体" w:hAnsi="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rPr>
      </w:pPr>
      <w:r>
        <w:rPr>
          <w:rFonts w:hint="eastAsia" w:ascii="宋体" w:hAnsi="宋体" w:cs="宋体"/>
          <w:sz w:val="24"/>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rPr>
      </w:pPr>
      <w:r>
        <w:rPr>
          <w:rFonts w:hint="eastAsia" w:ascii="宋体" w:hAnsi="宋体" w:cs="宋体"/>
          <w:sz w:val="24"/>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1.8.5如果出现政府采购监督管理部门在处理投诉事项期间，书面通知甲方暂停采购活动的情形，或者询问或质疑事项可能影响中标或者成交结果的，导致甲方中止履行合同的情形，均不视为甲方违约。</w:t>
      </w:r>
    </w:p>
    <w:p>
      <w:pPr>
        <w:spacing w:line="560" w:lineRule="exact"/>
        <w:ind w:left="-420" w:leftChars="-200" w:right="-420" w:rightChars="-200" w:firstLine="960" w:firstLineChars="400"/>
        <w:rPr>
          <w:rFonts w:ascii="宋体" w:hAnsi="宋体" w:cs="宋体"/>
        </w:rPr>
      </w:pPr>
      <w:r>
        <w:rPr>
          <w:rFonts w:hint="eastAsia" w:ascii="宋体" w:hAnsi="宋体" w:cs="宋体"/>
          <w:sz w:val="24"/>
        </w:rPr>
        <w:t>1.8.6违约责任</w:t>
      </w:r>
      <w:r>
        <w:rPr>
          <w:rFonts w:hint="eastAsia" w:ascii="宋体" w:hAnsi="宋体" w:cs="宋体"/>
          <w:b/>
          <w:i/>
          <w:sz w:val="24"/>
          <w:u w:val="single"/>
        </w:rPr>
        <w:t>合同专用条款</w:t>
      </w:r>
      <w:r>
        <w:rPr>
          <w:rFonts w:hint="eastAsia" w:ascii="宋体" w:hAnsi="宋体" w:cs="宋体"/>
          <w:sz w:val="24"/>
        </w:rPr>
        <w:t>另有约定的，从其约定。</w:t>
      </w:r>
    </w:p>
    <w:p>
      <w:pPr>
        <w:spacing w:line="560" w:lineRule="exact"/>
        <w:ind w:firstLine="482" w:firstLineChars="200"/>
        <w:outlineLvl w:val="0"/>
        <w:rPr>
          <w:rFonts w:ascii="宋体" w:hAnsi="宋体" w:cs="宋体"/>
          <w:b/>
          <w:sz w:val="24"/>
        </w:rPr>
      </w:pPr>
      <w:bookmarkStart w:id="416" w:name="_Toc28375"/>
      <w:bookmarkStart w:id="417" w:name="_Toc16021"/>
      <w:bookmarkStart w:id="418" w:name="_Toc15583"/>
      <w:r>
        <w:rPr>
          <w:rFonts w:hint="eastAsia" w:ascii="宋体" w:hAnsi="宋体" w:cs="宋体"/>
          <w:b/>
          <w:sz w:val="24"/>
        </w:rPr>
        <w:t>1.9合同争议的解决</w:t>
      </w:r>
      <w:bookmarkEnd w:id="416"/>
      <w:bookmarkEnd w:id="417"/>
      <w:bookmarkEnd w:id="418"/>
    </w:p>
    <w:p>
      <w:pPr>
        <w:spacing w:line="560" w:lineRule="exact"/>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本合同履行过程中发生的任何争议，双方当事人均可通过和解或者调解解决；不愿和解、调解或者和解、调解不成的，可以选择以下第条款规定的方式解决：</w:t>
      </w:r>
    </w:p>
    <w:p>
      <w:pPr>
        <w:spacing w:line="560" w:lineRule="exact"/>
        <w:ind w:left="-420" w:leftChars="-200" w:right="-420" w:rightChars="-200" w:firstLine="840" w:firstLineChars="350"/>
        <w:rPr>
          <w:rFonts w:ascii="宋体" w:hAnsi="宋体" w:cs="宋体"/>
          <w:sz w:val="24"/>
        </w:rPr>
      </w:pPr>
      <w:r>
        <w:rPr>
          <w:rFonts w:hint="eastAsia" w:ascii="宋体" w:hAnsi="宋体" w:cs="宋体"/>
          <w:sz w:val="24"/>
        </w:rPr>
        <w:t>1.9.1 将争议提交</w:t>
      </w:r>
      <w:r>
        <w:rPr>
          <w:rFonts w:hint="eastAsia" w:ascii="宋体" w:hAnsi="宋体" w:cs="宋体"/>
          <w:b/>
          <w:i/>
          <w:sz w:val="24"/>
          <w:u w:val="single"/>
        </w:rPr>
        <w:t>合同专用条款</w:t>
      </w:r>
      <w:r>
        <w:rPr>
          <w:rFonts w:hint="eastAsia" w:ascii="宋体" w:hAnsi="宋体" w:cs="宋体"/>
          <w:sz w:val="24"/>
        </w:rPr>
        <w:t>仲裁委员会依申请仲裁时其现行有效的仲裁规则裁决；</w:t>
      </w:r>
    </w:p>
    <w:p>
      <w:pPr>
        <w:spacing w:line="560" w:lineRule="exact"/>
        <w:ind w:left="-420" w:leftChars="-200" w:right="-420" w:rightChars="-200" w:firstLine="840" w:firstLineChars="350"/>
        <w:rPr>
          <w:rFonts w:ascii="宋体" w:hAnsi="宋体" w:cs="宋体"/>
          <w:sz w:val="24"/>
        </w:rPr>
      </w:pPr>
      <w:r>
        <w:rPr>
          <w:rFonts w:hint="eastAsia" w:ascii="宋体" w:hAnsi="宋体" w:cs="宋体"/>
          <w:sz w:val="24"/>
        </w:rPr>
        <w:t>1.9.2 向</w:t>
      </w:r>
      <w:r>
        <w:rPr>
          <w:rFonts w:hint="eastAsia" w:ascii="宋体" w:hAnsi="宋体" w:cs="宋体"/>
          <w:b/>
          <w:i/>
          <w:sz w:val="24"/>
          <w:u w:val="single"/>
        </w:rPr>
        <w:t>合同专用条款</w:t>
      </w:r>
      <w:r>
        <w:rPr>
          <w:rFonts w:hint="eastAsia" w:ascii="宋体" w:hAnsi="宋体" w:cs="宋体"/>
          <w:sz w:val="24"/>
        </w:rPr>
        <w:t>人民法院起诉。</w:t>
      </w:r>
    </w:p>
    <w:p>
      <w:pPr>
        <w:spacing w:line="560" w:lineRule="exact"/>
        <w:ind w:firstLine="482" w:firstLineChars="200"/>
        <w:outlineLvl w:val="0"/>
        <w:rPr>
          <w:rFonts w:ascii="宋体" w:hAnsi="宋体" w:cs="宋体"/>
          <w:b/>
          <w:sz w:val="24"/>
        </w:rPr>
      </w:pPr>
      <w:bookmarkStart w:id="419" w:name="_Toc11173"/>
      <w:bookmarkStart w:id="420" w:name="_Toc7245"/>
      <w:bookmarkStart w:id="421" w:name="_Toc15322"/>
      <w:r>
        <w:rPr>
          <w:rFonts w:hint="eastAsia" w:ascii="宋体" w:hAnsi="宋体" w:cs="宋体"/>
          <w:b/>
          <w:sz w:val="24"/>
        </w:rPr>
        <w:t>2.0 合同生效</w:t>
      </w:r>
      <w:bookmarkEnd w:id="419"/>
      <w:bookmarkEnd w:id="420"/>
      <w:bookmarkEnd w:id="421"/>
    </w:p>
    <w:p>
      <w:pPr>
        <w:spacing w:line="560" w:lineRule="exact"/>
        <w:ind w:firstLine="480" w:firstLineChars="200"/>
        <w:rPr>
          <w:rFonts w:ascii="宋体" w:hAnsi="宋体" w:cs="宋体"/>
          <w:b/>
          <w:sz w:val="24"/>
        </w:rPr>
      </w:pPr>
      <w:r>
        <w:rPr>
          <w:rFonts w:hint="eastAsia" w:ascii="宋体" w:hAnsi="宋体" w:cs="宋体"/>
          <w:sz w:val="24"/>
        </w:rPr>
        <w:t>本合同自双方当事人盖章签字时生效。</w:t>
      </w:r>
    </w:p>
    <w:p>
      <w:pPr>
        <w:autoSpaceDE w:val="0"/>
        <w:autoSpaceDN w:val="0"/>
        <w:spacing w:line="560" w:lineRule="exact"/>
        <w:rPr>
          <w:rFonts w:ascii="宋体" w:hAnsi="宋体" w:cs="宋体"/>
          <w:sz w:val="24"/>
          <w:lang w:val="zh-CN"/>
        </w:rPr>
      </w:pPr>
    </w:p>
    <w:p>
      <w:pPr>
        <w:autoSpaceDE w:val="0"/>
        <w:autoSpaceDN w:val="0"/>
        <w:spacing w:line="560" w:lineRule="exact"/>
        <w:rPr>
          <w:rFonts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pPr>
        <w:autoSpaceDE w:val="0"/>
        <w:autoSpaceDN w:val="0"/>
        <w:spacing w:line="560" w:lineRule="exact"/>
        <w:rPr>
          <w:rFonts w:ascii="宋体" w:hAnsi="宋体" w:cs="宋体"/>
          <w:sz w:val="24"/>
          <w:lang w:val="zh-CN"/>
        </w:rPr>
      </w:pPr>
      <w:r>
        <w:rPr>
          <w:rFonts w:hint="eastAsia" w:ascii="宋体" w:hAnsi="宋体" w:cs="宋体"/>
          <w:sz w:val="24"/>
          <w:lang w:val="zh-CN"/>
        </w:rPr>
        <w:t>统一社会信用代码：                        统一社会信用代码或身份证号码：</w:t>
      </w:r>
    </w:p>
    <w:p>
      <w:pPr>
        <w:autoSpaceDE w:val="0"/>
        <w:autoSpaceDN w:val="0"/>
        <w:spacing w:line="560" w:lineRule="exact"/>
        <w:rPr>
          <w:rFonts w:ascii="宋体" w:hAnsi="宋体" w:cs="宋体"/>
          <w:sz w:val="24"/>
          <w:lang w:val="zh-CN"/>
        </w:rPr>
      </w:pPr>
    </w:p>
    <w:p>
      <w:pPr>
        <w:autoSpaceDE w:val="0"/>
        <w:autoSpaceDN w:val="0"/>
        <w:spacing w:line="560" w:lineRule="exact"/>
        <w:rPr>
          <w:rFonts w:ascii="宋体" w:hAnsi="宋体" w:cs="宋体"/>
          <w:sz w:val="24"/>
          <w:lang w:val="zh-CN"/>
        </w:rPr>
      </w:pPr>
      <w:r>
        <w:rPr>
          <w:rFonts w:hint="eastAsia" w:ascii="宋体" w:hAnsi="宋体" w:cs="宋体"/>
          <w:sz w:val="24"/>
          <w:lang w:val="zh-CN"/>
        </w:rPr>
        <w:t>住所：                                   住所：</w:t>
      </w:r>
    </w:p>
    <w:p>
      <w:pPr>
        <w:autoSpaceDE w:val="0"/>
        <w:autoSpaceDN w:val="0"/>
        <w:spacing w:line="560" w:lineRule="exact"/>
        <w:rPr>
          <w:rFonts w:ascii="宋体" w:hAnsi="宋体" w:cs="宋体"/>
          <w:sz w:val="24"/>
          <w:lang w:val="zh-CN"/>
        </w:rPr>
      </w:pPr>
      <w:r>
        <w:rPr>
          <w:rFonts w:hint="eastAsia" w:ascii="宋体" w:hAnsi="宋体" w:cs="宋体"/>
          <w:sz w:val="24"/>
          <w:lang w:val="zh-CN"/>
        </w:rPr>
        <w:t>法定代表人或                             法定代表人</w:t>
      </w:r>
    </w:p>
    <w:p>
      <w:pPr>
        <w:autoSpaceDE w:val="0"/>
        <w:autoSpaceDN w:val="0"/>
        <w:spacing w:line="560" w:lineRule="exact"/>
        <w:rPr>
          <w:rFonts w:ascii="宋体" w:hAnsi="宋体" w:cs="宋体"/>
          <w:sz w:val="24"/>
          <w:lang w:val="zh-CN"/>
        </w:rPr>
      </w:pPr>
      <w:r>
        <w:rPr>
          <w:rFonts w:hint="eastAsia" w:ascii="宋体" w:hAnsi="宋体" w:cs="宋体"/>
          <w:sz w:val="24"/>
          <w:lang w:val="zh-CN"/>
        </w:rPr>
        <w:t xml:space="preserve">授权代表（签字）：                        或授权代表（签字）: </w:t>
      </w:r>
    </w:p>
    <w:p>
      <w:pPr>
        <w:autoSpaceDE w:val="0"/>
        <w:autoSpaceDN w:val="0"/>
        <w:spacing w:line="560" w:lineRule="exact"/>
        <w:rPr>
          <w:rFonts w:ascii="宋体" w:hAnsi="宋体" w:cs="宋体"/>
          <w:sz w:val="24"/>
          <w:lang w:val="zh-CN"/>
        </w:rPr>
      </w:pPr>
      <w:r>
        <w:rPr>
          <w:rFonts w:hint="eastAsia" w:ascii="宋体" w:hAnsi="宋体" w:cs="宋体"/>
          <w:sz w:val="24"/>
          <w:lang w:val="zh-CN"/>
        </w:rPr>
        <w:t>联系人：                                 联系人：</w:t>
      </w:r>
    </w:p>
    <w:p>
      <w:pPr>
        <w:autoSpaceDE w:val="0"/>
        <w:autoSpaceDN w:val="0"/>
        <w:spacing w:line="560" w:lineRule="exact"/>
        <w:rPr>
          <w:rFonts w:ascii="宋体" w:hAnsi="宋体" w:cs="宋体"/>
          <w:sz w:val="24"/>
          <w:lang w:val="zh-CN"/>
        </w:rPr>
      </w:pPr>
      <w:r>
        <w:rPr>
          <w:rFonts w:hint="eastAsia" w:ascii="宋体" w:hAnsi="宋体" w:cs="宋体"/>
          <w:sz w:val="24"/>
          <w:lang w:val="zh-CN"/>
        </w:rPr>
        <w:t>约定送达地址：                           约定送达地址：</w:t>
      </w:r>
    </w:p>
    <w:p>
      <w:pPr>
        <w:autoSpaceDE w:val="0"/>
        <w:autoSpaceDN w:val="0"/>
        <w:spacing w:line="560" w:lineRule="exact"/>
        <w:rPr>
          <w:rFonts w:ascii="宋体" w:hAnsi="宋体" w:cs="宋体"/>
          <w:sz w:val="24"/>
          <w:lang w:val="zh-CN"/>
        </w:rPr>
      </w:pPr>
      <w:r>
        <w:rPr>
          <w:rFonts w:hint="eastAsia" w:ascii="宋体" w:hAnsi="宋体" w:cs="宋体"/>
          <w:sz w:val="24"/>
          <w:lang w:val="zh-CN"/>
        </w:rPr>
        <w:t>邮政编码：                               邮政编码：</w:t>
      </w:r>
    </w:p>
    <w:p>
      <w:pPr>
        <w:autoSpaceDE w:val="0"/>
        <w:autoSpaceDN w:val="0"/>
        <w:spacing w:line="560" w:lineRule="exact"/>
        <w:rPr>
          <w:rFonts w:ascii="宋体" w:hAnsi="宋体" w:cs="宋体"/>
          <w:sz w:val="24"/>
          <w:lang w:val="zh-CN"/>
        </w:rPr>
      </w:pPr>
      <w:r>
        <w:rPr>
          <w:rFonts w:hint="eastAsia" w:ascii="宋体" w:hAnsi="宋体" w:cs="宋体"/>
          <w:sz w:val="24"/>
          <w:lang w:val="zh-CN"/>
        </w:rPr>
        <w:t xml:space="preserve">电话:                                    电话: </w:t>
      </w:r>
    </w:p>
    <w:p>
      <w:pPr>
        <w:autoSpaceDE w:val="0"/>
        <w:autoSpaceDN w:val="0"/>
        <w:spacing w:line="560" w:lineRule="exact"/>
        <w:rPr>
          <w:rFonts w:ascii="宋体" w:hAnsi="宋体" w:cs="宋体"/>
          <w:sz w:val="24"/>
          <w:lang w:val="zh-CN"/>
        </w:rPr>
      </w:pPr>
      <w:r>
        <w:rPr>
          <w:rFonts w:hint="eastAsia" w:ascii="宋体" w:hAnsi="宋体" w:cs="宋体"/>
          <w:sz w:val="24"/>
          <w:lang w:val="zh-CN"/>
        </w:rPr>
        <w:t>传真:                                    传真:</w:t>
      </w:r>
    </w:p>
    <w:p>
      <w:pPr>
        <w:autoSpaceDE w:val="0"/>
        <w:autoSpaceDN w:val="0"/>
        <w:spacing w:line="560" w:lineRule="exact"/>
        <w:rPr>
          <w:rFonts w:ascii="宋体" w:hAnsi="宋体" w:cs="宋体"/>
          <w:sz w:val="24"/>
        </w:rPr>
      </w:pPr>
      <w:r>
        <w:rPr>
          <w:rFonts w:hint="eastAsia" w:ascii="宋体" w:hAnsi="宋体" w:cs="宋体"/>
          <w:sz w:val="24"/>
          <w:lang w:val="zh-CN"/>
        </w:rPr>
        <w:t>电子邮箱：                               电子邮箱：</w:t>
      </w:r>
    </w:p>
    <w:p>
      <w:pPr>
        <w:autoSpaceDE w:val="0"/>
        <w:autoSpaceDN w:val="0"/>
        <w:spacing w:line="560" w:lineRule="exact"/>
        <w:rPr>
          <w:rFonts w:ascii="宋体" w:hAnsi="宋体" w:cs="宋体"/>
          <w:sz w:val="24"/>
        </w:rPr>
      </w:pPr>
      <w:r>
        <w:rPr>
          <w:rFonts w:hint="eastAsia" w:ascii="宋体" w:hAnsi="宋体" w:cs="宋体"/>
          <w:sz w:val="24"/>
        </w:rPr>
        <w:t xml:space="preserve">开户银行：                               开户银行： </w:t>
      </w:r>
    </w:p>
    <w:p>
      <w:pPr>
        <w:autoSpaceDE w:val="0"/>
        <w:autoSpaceDN w:val="0"/>
        <w:spacing w:line="560" w:lineRule="exact"/>
        <w:rPr>
          <w:rFonts w:ascii="宋体" w:hAnsi="宋体" w:cs="宋体"/>
          <w:sz w:val="24"/>
        </w:rPr>
      </w:pPr>
      <w:r>
        <w:rPr>
          <w:rFonts w:hint="eastAsia" w:ascii="宋体" w:hAnsi="宋体" w:cs="宋体"/>
          <w:sz w:val="24"/>
        </w:rPr>
        <w:t xml:space="preserve">开户名称：                               开户名称： </w:t>
      </w:r>
    </w:p>
    <w:p>
      <w:pPr>
        <w:autoSpaceDE w:val="0"/>
        <w:autoSpaceDN w:val="0"/>
        <w:spacing w:line="560" w:lineRule="exact"/>
        <w:rPr>
          <w:rFonts w:ascii="宋体" w:hAnsi="宋体" w:cs="宋体"/>
          <w:sz w:val="24"/>
        </w:rPr>
      </w:pPr>
      <w:r>
        <w:rPr>
          <w:rFonts w:hint="eastAsia" w:ascii="宋体" w:hAnsi="宋体" w:cs="宋体"/>
          <w:sz w:val="24"/>
        </w:rPr>
        <w:t>开户账号：开户账号：</w:t>
      </w:r>
    </w:p>
    <w:p>
      <w:pPr>
        <w:pStyle w:val="701"/>
        <w:spacing w:line="560" w:lineRule="exact"/>
        <w:ind w:firstLine="482"/>
        <w:jc w:val="center"/>
        <w:rPr>
          <w:rFonts w:ascii="宋体" w:hAnsi="宋体" w:cs="宋体"/>
          <w:b/>
          <w:szCs w:val="24"/>
        </w:rPr>
      </w:pPr>
      <w:r>
        <w:rPr>
          <w:rFonts w:hint="eastAsia" w:ascii="宋体" w:hAnsi="宋体" w:cs="宋体"/>
          <w:b/>
          <w:szCs w:val="24"/>
        </w:rPr>
        <w:t>第二部分 合同一般条款</w:t>
      </w:r>
    </w:p>
    <w:p>
      <w:pPr>
        <w:spacing w:line="560" w:lineRule="exact"/>
        <w:ind w:firstLine="482" w:firstLineChars="200"/>
        <w:outlineLvl w:val="0"/>
        <w:rPr>
          <w:rFonts w:ascii="宋体" w:hAnsi="宋体" w:cs="宋体"/>
          <w:b/>
          <w:sz w:val="24"/>
        </w:rPr>
      </w:pPr>
      <w:bookmarkStart w:id="422" w:name="_Toc487900349"/>
      <w:bookmarkStart w:id="423" w:name="_Toc16917"/>
      <w:bookmarkStart w:id="424" w:name="_Ref467379225"/>
      <w:bookmarkStart w:id="425" w:name="_Toc259093669"/>
      <w:bookmarkStart w:id="426" w:name="_Ref467379094"/>
      <w:bookmarkStart w:id="427" w:name="_Toc28763"/>
      <w:bookmarkStart w:id="428" w:name="_Ref467378499"/>
      <w:bookmarkStart w:id="429" w:name="_Ref467378404"/>
      <w:bookmarkStart w:id="430" w:name="_Ref467378463"/>
      <w:bookmarkStart w:id="431" w:name="_Ref467379214"/>
      <w:bookmarkStart w:id="432" w:name="_Ref467379101"/>
      <w:bookmarkStart w:id="433" w:name="_Ref467379109"/>
      <w:bookmarkStart w:id="434" w:name="_Toc279701240"/>
      <w:bookmarkStart w:id="435" w:name="_Ref467379195"/>
      <w:bookmarkStart w:id="436" w:name="_Ref467379205"/>
      <w:bookmarkStart w:id="437" w:name="_Toc19614"/>
      <w:r>
        <w:rPr>
          <w:rFonts w:hint="eastAsia" w:ascii="宋体" w:hAnsi="宋体" w:cs="宋体"/>
          <w:b/>
          <w:sz w:val="24"/>
        </w:rPr>
        <w:t>2.1 定义</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pPr>
        <w:spacing w:line="560" w:lineRule="exact"/>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560" w:lineRule="exact"/>
        <w:ind w:firstLine="480" w:firstLineChars="200"/>
        <w:rPr>
          <w:rFonts w:ascii="宋体" w:hAnsi="宋体" w:cs="宋体"/>
          <w:sz w:val="24"/>
        </w:rPr>
      </w:pPr>
      <w:r>
        <w:rPr>
          <w:rFonts w:hint="eastAsia" w:ascii="宋体" w:hAnsi="宋体" w:cs="宋体"/>
          <w:sz w:val="24"/>
        </w:rPr>
        <w:t>2.1.1 “合同”系指采购人和中标或成交供应商签订的载明双方当事人所达成的协议，并包括所有的附件、附录和构成合同的其他文件。</w:t>
      </w:r>
    </w:p>
    <w:p>
      <w:pPr>
        <w:spacing w:line="560" w:lineRule="exact"/>
        <w:ind w:firstLine="480" w:firstLineChars="200"/>
        <w:rPr>
          <w:rFonts w:ascii="宋体" w:hAnsi="宋体" w:cs="宋体"/>
          <w:sz w:val="24"/>
        </w:rPr>
      </w:pPr>
      <w:r>
        <w:rPr>
          <w:rFonts w:hint="eastAsia" w:ascii="宋体" w:hAnsi="宋体" w:cs="宋体"/>
          <w:sz w:val="24"/>
        </w:rPr>
        <w:t>2.1.2 “合同价”系指根据合同约定，中标或成交供应商在完全履行合同义务后，采购人应支付给中标或成交供应商的价格。</w:t>
      </w:r>
    </w:p>
    <w:p>
      <w:pPr>
        <w:spacing w:line="560" w:lineRule="exact"/>
        <w:ind w:firstLine="480" w:firstLineChars="200"/>
        <w:rPr>
          <w:rFonts w:ascii="宋体" w:hAnsi="宋体" w:cs="宋体"/>
          <w:sz w:val="24"/>
        </w:rPr>
      </w:pPr>
      <w:r>
        <w:rPr>
          <w:rFonts w:hint="eastAsia" w:ascii="宋体" w:hAnsi="宋体" w:cs="宋体"/>
          <w:sz w:val="24"/>
        </w:rPr>
        <w:t>2.1.3 “货物”系指中标或成交供应商根据合同约定应向采购人交付的一切各种形态和种类的物品，包括原材料、燃料、设备、机械、仪表、备件、计算机软件、产品等，并包括工具、手册等其他相关资料。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sz w:val="24"/>
        </w:rPr>
      </w:pPr>
      <w:bookmarkStart w:id="438" w:name="_Ref467378840"/>
      <w:r>
        <w:rPr>
          <w:rFonts w:hint="eastAsia" w:ascii="宋体" w:hAnsi="宋体" w:cs="宋体"/>
          <w:sz w:val="24"/>
        </w:rPr>
        <w:t>2.1.4 “甲方”系指与中标或成交供应商签署合同的采购人</w:t>
      </w:r>
      <w:bookmarkEnd w:id="438"/>
      <w:r>
        <w:rPr>
          <w:rFonts w:hint="eastAsia" w:ascii="宋体" w:hAnsi="宋体" w:cs="宋体"/>
          <w:sz w:val="24"/>
        </w:rPr>
        <w:t>；采购人委托采购代理机构代表其与乙方签订合同的，采购人的授权委托书作为合同附件。</w:t>
      </w:r>
    </w:p>
    <w:p>
      <w:pPr>
        <w:spacing w:line="560" w:lineRule="exact"/>
        <w:ind w:firstLine="480" w:firstLineChars="200"/>
        <w:rPr>
          <w:rFonts w:ascii="宋体" w:hAnsi="宋体" w:cs="宋体"/>
          <w:sz w:val="24"/>
        </w:rPr>
      </w:pPr>
      <w:bookmarkStart w:id="439" w:name="_Ref467379400"/>
      <w:r>
        <w:rPr>
          <w:rFonts w:hint="eastAsia" w:ascii="宋体" w:hAnsi="宋体" w:cs="宋体"/>
          <w:sz w:val="24"/>
        </w:rPr>
        <w:t>2.1.5 “乙方”系指根据合同约定交付货物的中标或成交供应商</w:t>
      </w:r>
      <w:bookmarkEnd w:id="439"/>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rPr>
      </w:pPr>
      <w:bookmarkStart w:id="440" w:name="_Ref467379436"/>
      <w:r>
        <w:rPr>
          <w:rFonts w:hint="eastAsia" w:ascii="宋体" w:hAnsi="宋体" w:cs="宋体"/>
          <w:sz w:val="24"/>
        </w:rPr>
        <w:t>2.1.6 “现场”系指合同约定货物将要运至或者安装的地点。</w:t>
      </w:r>
      <w:bookmarkEnd w:id="440"/>
    </w:p>
    <w:p>
      <w:pPr>
        <w:spacing w:line="560" w:lineRule="exact"/>
        <w:ind w:firstLine="482" w:firstLineChars="200"/>
        <w:outlineLvl w:val="0"/>
        <w:rPr>
          <w:rFonts w:ascii="宋体" w:hAnsi="宋体" w:cs="宋体"/>
          <w:b/>
          <w:sz w:val="24"/>
        </w:rPr>
      </w:pPr>
      <w:bookmarkStart w:id="441" w:name="_Toc13336"/>
      <w:bookmarkStart w:id="442" w:name="_Toc279701241"/>
      <w:bookmarkStart w:id="443" w:name="_Toc259093670"/>
      <w:bookmarkStart w:id="444" w:name="_Toc27635"/>
      <w:bookmarkStart w:id="445" w:name="_Toc487900350"/>
      <w:bookmarkStart w:id="446" w:name="_Toc32504"/>
      <w:r>
        <w:rPr>
          <w:rFonts w:hint="eastAsia" w:ascii="宋体" w:hAnsi="宋体" w:cs="宋体"/>
          <w:b/>
          <w:sz w:val="24"/>
        </w:rPr>
        <w:t>2.2 技术规范</w:t>
      </w:r>
      <w:bookmarkEnd w:id="441"/>
      <w:bookmarkEnd w:id="442"/>
      <w:bookmarkEnd w:id="443"/>
      <w:bookmarkEnd w:id="444"/>
      <w:bookmarkEnd w:id="445"/>
      <w:bookmarkEnd w:id="446"/>
    </w:p>
    <w:p>
      <w:pPr>
        <w:spacing w:line="560" w:lineRule="exact"/>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rPr>
      </w:pPr>
      <w:bookmarkStart w:id="447" w:name="_Toc27853"/>
      <w:bookmarkStart w:id="448" w:name="_Toc259093671"/>
      <w:bookmarkStart w:id="449" w:name="_Toc279701242"/>
      <w:bookmarkStart w:id="450" w:name="_Toc487900351"/>
      <w:bookmarkStart w:id="451" w:name="_Toc31634"/>
      <w:bookmarkStart w:id="452" w:name="_Toc9829"/>
      <w:r>
        <w:rPr>
          <w:rFonts w:hint="eastAsia" w:ascii="宋体" w:hAnsi="宋体" w:cs="宋体"/>
          <w:b/>
          <w:sz w:val="24"/>
        </w:rPr>
        <w:t>2.3 知识产权</w:t>
      </w:r>
      <w:bookmarkEnd w:id="447"/>
      <w:bookmarkEnd w:id="448"/>
      <w:bookmarkEnd w:id="449"/>
      <w:bookmarkEnd w:id="450"/>
      <w:bookmarkEnd w:id="451"/>
      <w:bookmarkEnd w:id="452"/>
    </w:p>
    <w:p>
      <w:pPr>
        <w:spacing w:line="560" w:lineRule="exact"/>
        <w:ind w:firstLine="480" w:firstLineChars="200"/>
        <w:rPr>
          <w:rFonts w:ascii="宋体" w:hAnsi="宋体" w:cs="宋体"/>
          <w:sz w:val="24"/>
        </w:rPr>
      </w:pPr>
      <w:r>
        <w:rPr>
          <w:rFonts w:hint="eastAsia" w:ascii="宋体" w:hAnsi="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560" w:lineRule="exact"/>
        <w:ind w:firstLine="480" w:firstLineChars="200"/>
        <w:rPr>
          <w:rFonts w:ascii="宋体" w:hAnsi="宋体" w:cs="宋体"/>
          <w:sz w:val="24"/>
        </w:rPr>
      </w:pPr>
      <w:r>
        <w:rPr>
          <w:rFonts w:hint="eastAsia" w:ascii="宋体" w:hAnsi="宋体" w:cs="宋体"/>
          <w:sz w:val="24"/>
        </w:rPr>
        <w:t>2.3.2具有知识产权的计算机软件等货物的知识产权归属，详见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53" w:name="_Toc11932"/>
      <w:bookmarkStart w:id="454" w:name="_Toc29149"/>
      <w:bookmarkStart w:id="455" w:name="_Toc4194"/>
      <w:r>
        <w:rPr>
          <w:rFonts w:hint="eastAsia" w:ascii="宋体" w:hAnsi="宋体" w:cs="宋体"/>
          <w:b/>
          <w:sz w:val="24"/>
        </w:rPr>
        <w:t>2.4 包装和装运</w:t>
      </w:r>
      <w:bookmarkEnd w:id="453"/>
      <w:bookmarkEnd w:id="454"/>
      <w:bookmarkEnd w:id="455"/>
    </w:p>
    <w:p>
      <w:pPr>
        <w:spacing w:line="560" w:lineRule="exact"/>
        <w:ind w:firstLine="480" w:firstLineChars="200"/>
        <w:rPr>
          <w:rFonts w:ascii="宋体" w:hAnsi="宋体" w:cs="宋体"/>
          <w:sz w:val="24"/>
        </w:rPr>
      </w:pPr>
      <w:r>
        <w:rPr>
          <w:rFonts w:hint="eastAsia" w:ascii="宋体" w:hAnsi="宋体" w:cs="宋体"/>
          <w:sz w:val="24"/>
        </w:rPr>
        <w:t>2.4.1除</w:t>
      </w:r>
      <w:r>
        <w:rPr>
          <w:rFonts w:hint="eastAsia" w:ascii="宋体" w:hAnsi="宋体" w:cs="宋体"/>
          <w:b/>
          <w:i/>
          <w:sz w:val="24"/>
          <w:u w:val="single"/>
        </w:rPr>
        <w:t>合同专用条款</w:t>
      </w:r>
      <w:r>
        <w:rPr>
          <w:rFonts w:hint="eastAsia" w:ascii="宋体" w:hAnsi="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sz w:val="24"/>
        </w:rPr>
      </w:pPr>
      <w:r>
        <w:rPr>
          <w:rFonts w:hint="eastAsia" w:ascii="宋体" w:hAnsi="宋体" w:cs="宋体"/>
          <w:sz w:val="24"/>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pPr>
        <w:spacing w:line="560" w:lineRule="exact"/>
        <w:ind w:firstLine="480" w:firstLineChars="200"/>
        <w:rPr>
          <w:rFonts w:ascii="宋体" w:hAnsi="宋体" w:cs="宋体"/>
          <w:sz w:val="24"/>
        </w:rPr>
      </w:pPr>
      <w:r>
        <w:rPr>
          <w:rFonts w:hint="eastAsia" w:ascii="宋体" w:hAnsi="宋体" w:cs="宋体"/>
          <w:sz w:val="24"/>
        </w:rPr>
        <w:t>2.4.3 装运货物的要求和通知，详见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56" w:name="_Toc279701245"/>
      <w:bookmarkStart w:id="457" w:name="_Ref467379536"/>
      <w:bookmarkStart w:id="458" w:name="_Toc487900354"/>
      <w:bookmarkStart w:id="459" w:name="_Ref467379527"/>
      <w:bookmarkStart w:id="460" w:name="_Ref467378541"/>
      <w:bookmarkStart w:id="461" w:name="_Toc259093674"/>
      <w:bookmarkStart w:id="462" w:name="_Ref467379542"/>
      <w:bookmarkStart w:id="463" w:name="_Ref467378591"/>
      <w:bookmarkStart w:id="464" w:name="_Toc26182"/>
      <w:bookmarkStart w:id="465" w:name="_Toc19074"/>
      <w:bookmarkStart w:id="466" w:name="_Toc30272"/>
      <w:r>
        <w:rPr>
          <w:rFonts w:hint="eastAsia" w:ascii="宋体" w:hAnsi="宋体" w:cs="宋体"/>
          <w:b/>
          <w:sz w:val="24"/>
        </w:rPr>
        <w:t>2.</w:t>
      </w:r>
      <w:bookmarkEnd w:id="456"/>
      <w:bookmarkEnd w:id="457"/>
      <w:bookmarkEnd w:id="458"/>
      <w:bookmarkEnd w:id="459"/>
      <w:bookmarkEnd w:id="460"/>
      <w:bookmarkEnd w:id="461"/>
      <w:bookmarkEnd w:id="462"/>
      <w:bookmarkEnd w:id="463"/>
      <w:r>
        <w:rPr>
          <w:rFonts w:hint="eastAsia" w:ascii="宋体" w:hAnsi="宋体" w:cs="宋体"/>
          <w:b/>
          <w:sz w:val="24"/>
        </w:rPr>
        <w:t>5 履约检查和问题反馈</w:t>
      </w:r>
      <w:bookmarkEnd w:id="464"/>
      <w:bookmarkEnd w:id="465"/>
      <w:bookmarkEnd w:id="466"/>
    </w:p>
    <w:p>
      <w:pPr>
        <w:spacing w:line="560" w:lineRule="exact"/>
        <w:ind w:firstLine="480" w:firstLineChars="200"/>
        <w:rPr>
          <w:rFonts w:ascii="宋体" w:hAnsi="宋体" w:cs="宋体"/>
          <w:sz w:val="24"/>
        </w:rPr>
      </w:pPr>
      <w:bookmarkStart w:id="467" w:name="_Ref467379657"/>
      <w:r>
        <w:rPr>
          <w:rFonts w:hint="eastAsia" w:ascii="宋体" w:hAnsi="宋体" w:cs="宋体"/>
          <w:sz w:val="24"/>
        </w:rPr>
        <w:t>2.5.1</w:t>
      </w:r>
      <w:bookmarkEnd w:id="467"/>
      <w:bookmarkStart w:id="468" w:name="_Toc186431854"/>
      <w:bookmarkStart w:id="469" w:name="_Toc259093676"/>
      <w:bookmarkStart w:id="470" w:name="_Ref467379793"/>
      <w:bookmarkStart w:id="471" w:name="_Ref467379807"/>
      <w:bookmarkStart w:id="472" w:name="_Toc279701247"/>
      <w:bookmarkStart w:id="473" w:name="_Toc487900357"/>
      <w:r>
        <w:rPr>
          <w:rFonts w:hint="eastAsia" w:ascii="宋体" w:hAnsi="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sz w:val="24"/>
        </w:rPr>
      </w:pPr>
      <w:r>
        <w:rPr>
          <w:rFonts w:hint="eastAsia" w:ascii="宋体" w:hAnsi="宋体" w:cs="宋体"/>
          <w:sz w:val="24"/>
        </w:rPr>
        <w:t>2.5.2 合同履行期间，甲方有权将履行过程中出现的问题反馈给乙方，双方当事人应以书面形式约定需要完善和改进的内容</w:t>
      </w:r>
      <w:bookmarkEnd w:id="468"/>
      <w:bookmarkStart w:id="474" w:name="_Toc186431855"/>
      <w:r>
        <w:rPr>
          <w:rFonts w:hint="eastAsia" w:ascii="宋体" w:hAnsi="宋体" w:cs="宋体"/>
          <w:sz w:val="24"/>
        </w:rPr>
        <w:t>。</w:t>
      </w:r>
    </w:p>
    <w:bookmarkEnd w:id="469"/>
    <w:bookmarkEnd w:id="470"/>
    <w:bookmarkEnd w:id="471"/>
    <w:bookmarkEnd w:id="472"/>
    <w:bookmarkEnd w:id="473"/>
    <w:bookmarkEnd w:id="474"/>
    <w:p>
      <w:pPr>
        <w:spacing w:line="560" w:lineRule="exact"/>
        <w:ind w:firstLine="482" w:firstLineChars="200"/>
        <w:outlineLvl w:val="0"/>
        <w:rPr>
          <w:rFonts w:ascii="宋体" w:hAnsi="宋体" w:cs="宋体"/>
          <w:b/>
          <w:sz w:val="24"/>
        </w:rPr>
      </w:pPr>
      <w:bookmarkStart w:id="475" w:name="_Toc279701248"/>
      <w:bookmarkStart w:id="476" w:name="_Toc259093677"/>
      <w:bookmarkStart w:id="477" w:name="_Toc487900358"/>
      <w:bookmarkStart w:id="478" w:name="_Ref467379863"/>
      <w:bookmarkStart w:id="479" w:name="_Ref467379852"/>
      <w:bookmarkStart w:id="480" w:name="_Ref467379923"/>
      <w:bookmarkStart w:id="481" w:name="_Toc3225"/>
      <w:bookmarkStart w:id="482" w:name="_Toc16110"/>
      <w:bookmarkStart w:id="483" w:name="_Toc774"/>
      <w:r>
        <w:rPr>
          <w:rFonts w:hint="eastAsia" w:ascii="宋体" w:hAnsi="宋体" w:cs="宋体"/>
          <w:b/>
          <w:sz w:val="24"/>
        </w:rPr>
        <w:t>2.6 技术资料</w:t>
      </w:r>
      <w:bookmarkEnd w:id="475"/>
      <w:bookmarkEnd w:id="476"/>
      <w:bookmarkEnd w:id="477"/>
      <w:bookmarkEnd w:id="478"/>
      <w:bookmarkEnd w:id="479"/>
      <w:bookmarkEnd w:id="480"/>
      <w:r>
        <w:rPr>
          <w:rFonts w:hint="eastAsia" w:ascii="宋体" w:hAnsi="宋体" w:cs="宋体"/>
          <w:b/>
          <w:sz w:val="24"/>
        </w:rPr>
        <w:t>和保密义务</w:t>
      </w:r>
      <w:bookmarkEnd w:id="481"/>
      <w:bookmarkEnd w:id="482"/>
      <w:bookmarkEnd w:id="483"/>
    </w:p>
    <w:p>
      <w:pPr>
        <w:spacing w:line="560" w:lineRule="exact"/>
        <w:ind w:firstLine="480" w:firstLineChars="200"/>
        <w:rPr>
          <w:rFonts w:ascii="宋体" w:hAnsi="宋体" w:cs="宋体"/>
          <w:sz w:val="24"/>
        </w:rPr>
      </w:pPr>
      <w:r>
        <w:rPr>
          <w:rFonts w:hint="eastAsia" w:ascii="宋体" w:hAnsi="宋体" w:cs="宋体"/>
          <w:sz w:val="24"/>
        </w:rPr>
        <w:t>2.6.1 乙方有权依据合同约定和项目需要，向甲方了解有关情况，调阅有关资料等，甲方应予积极配合；</w:t>
      </w:r>
    </w:p>
    <w:p>
      <w:pPr>
        <w:spacing w:line="560" w:lineRule="exact"/>
        <w:ind w:firstLine="480" w:firstLineChars="200"/>
        <w:rPr>
          <w:rFonts w:ascii="宋体" w:hAnsi="宋体" w:cs="宋体"/>
          <w:sz w:val="24"/>
        </w:rPr>
      </w:pPr>
      <w:r>
        <w:rPr>
          <w:rFonts w:hint="eastAsia" w:ascii="宋体" w:hAnsi="宋体" w:cs="宋体"/>
          <w:sz w:val="24"/>
        </w:rPr>
        <w:t>2.6.2 乙方有义务妥善保管和保护由甲方提供的前款信息和资料等；</w:t>
      </w:r>
    </w:p>
    <w:p>
      <w:pPr>
        <w:spacing w:line="560" w:lineRule="exact"/>
        <w:ind w:firstLine="480" w:firstLineChars="200"/>
        <w:rPr>
          <w:rFonts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rPr>
      </w:pPr>
      <w:bookmarkStart w:id="484" w:name="_Toc7860"/>
      <w:r>
        <w:rPr>
          <w:rFonts w:hint="eastAsia" w:ascii="宋体" w:hAnsi="宋体" w:cs="宋体"/>
          <w:b/>
          <w:sz w:val="24"/>
        </w:rPr>
        <w:t>2.7 质量保证</w:t>
      </w:r>
      <w:bookmarkEnd w:id="484"/>
    </w:p>
    <w:p>
      <w:pPr>
        <w:spacing w:line="560" w:lineRule="exact"/>
        <w:ind w:firstLine="480" w:firstLineChars="200"/>
        <w:rPr>
          <w:rFonts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rPr>
      </w:pPr>
      <w:bookmarkStart w:id="485" w:name="_Toc17244"/>
      <w:bookmarkStart w:id="486" w:name="_Toc259093681"/>
      <w:bookmarkStart w:id="487" w:name="_Toc487900362"/>
      <w:bookmarkStart w:id="488" w:name="_Toc279701252"/>
      <w:r>
        <w:rPr>
          <w:rFonts w:hint="eastAsia" w:ascii="宋体" w:hAnsi="宋体" w:cs="宋体"/>
          <w:b/>
          <w:sz w:val="24"/>
        </w:rPr>
        <w:t>2.8 货物的风险负担</w:t>
      </w:r>
      <w:bookmarkEnd w:id="485"/>
    </w:p>
    <w:p>
      <w:pPr>
        <w:spacing w:line="560" w:lineRule="exact"/>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89" w:name="_Toc14055"/>
      <w:r>
        <w:rPr>
          <w:rFonts w:hint="eastAsia" w:ascii="宋体" w:hAnsi="宋体" w:cs="宋体"/>
          <w:b/>
          <w:sz w:val="24"/>
        </w:rPr>
        <w:t>2.9 延迟交货</w:t>
      </w:r>
      <w:bookmarkEnd w:id="486"/>
      <w:bookmarkEnd w:id="487"/>
      <w:bookmarkEnd w:id="488"/>
      <w:bookmarkEnd w:id="489"/>
    </w:p>
    <w:p>
      <w:pPr>
        <w:spacing w:line="560" w:lineRule="exact"/>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宋体" w:hAnsi="宋体" w:cs="宋体"/>
          <w:b/>
          <w:sz w:val="24"/>
        </w:rPr>
      </w:pPr>
      <w:bookmarkStart w:id="490" w:name="_Toc7502"/>
      <w:bookmarkStart w:id="491" w:name="_Toc279701254"/>
      <w:bookmarkStart w:id="492" w:name="_Ref467378121"/>
      <w:bookmarkStart w:id="493" w:name="_Toc259093683"/>
      <w:bookmarkStart w:id="494" w:name="_Toc487900364"/>
      <w:r>
        <w:rPr>
          <w:rFonts w:hint="eastAsia" w:ascii="宋体" w:hAnsi="宋体" w:cs="宋体"/>
          <w:b/>
          <w:sz w:val="24"/>
        </w:rPr>
        <w:t>2.10 合同变更</w:t>
      </w:r>
      <w:bookmarkEnd w:id="490"/>
    </w:p>
    <w:p>
      <w:pPr>
        <w:spacing w:line="560" w:lineRule="exact"/>
        <w:ind w:firstLine="480" w:firstLineChars="200"/>
        <w:rPr>
          <w:rFonts w:ascii="宋体" w:hAnsi="宋体" w:cs="宋体"/>
          <w:sz w:val="24"/>
        </w:rPr>
      </w:pPr>
      <w:r>
        <w:rPr>
          <w:rFonts w:hint="eastAsia" w:ascii="宋体" w:hAnsi="宋体" w:cs="宋体"/>
          <w:sz w:val="24"/>
        </w:rPr>
        <w:t>合同继续履行将损害国家利益和社会公共利益的，双方当事人应当以书面形式变更合同。有过错的一方应当承担赔偿责任，双方当事人都有过错的，各自承担相应的责任。</w:t>
      </w:r>
      <w:bookmarkStart w:id="495" w:name="_Toc259093688"/>
      <w:bookmarkStart w:id="496" w:name="_Toc487900369"/>
      <w:bookmarkStart w:id="497" w:name="_Toc279701259"/>
    </w:p>
    <w:p>
      <w:pPr>
        <w:spacing w:line="560" w:lineRule="exact"/>
        <w:ind w:firstLine="482" w:firstLineChars="200"/>
        <w:outlineLvl w:val="0"/>
        <w:rPr>
          <w:rFonts w:ascii="宋体" w:hAnsi="宋体" w:cs="宋体"/>
          <w:b/>
          <w:sz w:val="24"/>
        </w:rPr>
      </w:pPr>
      <w:bookmarkStart w:id="498" w:name="_Toc15237"/>
      <w:bookmarkStart w:id="499" w:name="_Toc22955"/>
      <w:bookmarkStart w:id="500" w:name="_Toc10366"/>
      <w:r>
        <w:rPr>
          <w:rFonts w:hint="eastAsia" w:ascii="宋体" w:hAnsi="宋体" w:cs="宋体"/>
          <w:b/>
          <w:sz w:val="24"/>
        </w:rPr>
        <w:t>2.11 合同转让</w:t>
      </w:r>
      <w:bookmarkEnd w:id="495"/>
      <w:bookmarkEnd w:id="496"/>
      <w:bookmarkEnd w:id="497"/>
      <w:r>
        <w:rPr>
          <w:rFonts w:hint="eastAsia" w:ascii="宋体" w:hAnsi="宋体" w:cs="宋体"/>
          <w:b/>
          <w:sz w:val="24"/>
        </w:rPr>
        <w:t>和分包</w:t>
      </w:r>
      <w:bookmarkEnd w:id="498"/>
      <w:bookmarkEnd w:id="499"/>
      <w:bookmarkEnd w:id="500"/>
    </w:p>
    <w:p>
      <w:pPr>
        <w:spacing w:line="560" w:lineRule="exact"/>
        <w:ind w:firstLine="480" w:firstLineChars="200"/>
        <w:rPr>
          <w:rFonts w:ascii="宋体" w:hAnsi="宋体" w:cs="宋体"/>
          <w:sz w:val="24"/>
        </w:rPr>
      </w:pPr>
      <w:r>
        <w:rPr>
          <w:rFonts w:hint="eastAsia" w:ascii="宋体" w:hAnsi="宋体" w:cs="宋体"/>
          <w:sz w:val="24"/>
        </w:rPr>
        <w:t>2.11.1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0" w:firstLineChars="200"/>
        <w:rPr>
          <w:rFonts w:ascii="宋体" w:hAnsi="宋体" w:cs="宋体"/>
          <w:sz w:val="24"/>
        </w:rPr>
      </w:pPr>
      <w:r>
        <w:rPr>
          <w:rFonts w:hint="eastAsia" w:ascii="宋体" w:hAnsi="宋体" w:cs="宋体"/>
          <w:sz w:val="24"/>
        </w:rPr>
        <w:t>2.11.2乙方采取分包方式履行合同的，甲方可直接向分包供应商支付款项。</w:t>
      </w:r>
    </w:p>
    <w:p>
      <w:pPr>
        <w:spacing w:line="560" w:lineRule="exact"/>
        <w:ind w:firstLine="482" w:firstLineChars="200"/>
        <w:outlineLvl w:val="0"/>
        <w:rPr>
          <w:rFonts w:ascii="宋体" w:hAnsi="宋体" w:cs="宋体"/>
          <w:b/>
          <w:sz w:val="24"/>
        </w:rPr>
      </w:pPr>
      <w:bookmarkStart w:id="501" w:name="_Toc14066"/>
      <w:bookmarkStart w:id="502" w:name="_Toc13566"/>
      <w:bookmarkStart w:id="503" w:name="_Toc16508"/>
      <w:r>
        <w:rPr>
          <w:rFonts w:hint="eastAsia" w:ascii="宋体" w:hAnsi="宋体" w:cs="宋体"/>
          <w:b/>
          <w:sz w:val="24"/>
        </w:rPr>
        <w:t>2.12 不可抗力</w:t>
      </w:r>
      <w:bookmarkEnd w:id="501"/>
      <w:bookmarkEnd w:id="502"/>
      <w:bookmarkEnd w:id="503"/>
    </w:p>
    <w:p>
      <w:pPr>
        <w:spacing w:line="560" w:lineRule="exact"/>
        <w:ind w:firstLine="480" w:firstLineChars="200"/>
        <w:rPr>
          <w:rFonts w:ascii="宋体" w:hAnsi="宋体" w:cs="宋体"/>
          <w:sz w:val="24"/>
        </w:rPr>
      </w:pPr>
      <w:r>
        <w:rPr>
          <w:rFonts w:hint="eastAsia" w:ascii="宋体" w:hAnsi="宋体" w:cs="宋体"/>
          <w:sz w:val="24"/>
        </w:rPr>
        <w:t>2.12.1如果任何一方遭遇法律规定的不可抗力，致使合同履行受阻时，履行合同的期限应予延长，延长的期限应相当于不可抗力所影响的时间；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rPr>
      </w:pPr>
      <w:r>
        <w:rPr>
          <w:rFonts w:hint="eastAsia" w:ascii="宋体" w:hAnsi="宋体" w:cs="宋体"/>
          <w:sz w:val="24"/>
        </w:rPr>
        <w:t>2.12.2 因不可抗力致使不能实现合同目的的，当事人可以解除合同；</w:t>
      </w:r>
    </w:p>
    <w:p>
      <w:pPr>
        <w:spacing w:line="560" w:lineRule="exact"/>
        <w:ind w:firstLine="480" w:firstLineChars="200"/>
        <w:rPr>
          <w:rFonts w:ascii="宋体" w:hAnsi="宋体" w:cs="宋体"/>
          <w:sz w:val="24"/>
        </w:rPr>
      </w:pPr>
      <w:r>
        <w:rPr>
          <w:rFonts w:hint="eastAsia" w:ascii="宋体" w:hAnsi="宋体" w:cs="宋体"/>
          <w:sz w:val="24"/>
        </w:rPr>
        <w:t>2.12.3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pPr>
        <w:spacing w:line="560" w:lineRule="exact"/>
        <w:ind w:firstLine="480" w:firstLineChars="200"/>
        <w:rPr>
          <w:rFonts w:ascii="宋体" w:hAnsi="宋体" w:cs="宋体"/>
          <w:sz w:val="24"/>
        </w:rPr>
      </w:pPr>
      <w:r>
        <w:rPr>
          <w:rFonts w:hint="eastAsia" w:ascii="宋体" w:hAnsi="宋体" w:cs="宋体"/>
          <w:sz w:val="24"/>
        </w:rPr>
        <w:t>2.12.4受不可抗力影响的一方在不可抗力发生后，应在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pPr>
        <w:spacing w:line="560" w:lineRule="exact"/>
        <w:ind w:firstLine="482" w:firstLineChars="200"/>
        <w:outlineLvl w:val="0"/>
        <w:rPr>
          <w:rFonts w:ascii="宋体" w:hAnsi="宋体" w:cs="宋体"/>
          <w:b/>
          <w:sz w:val="24"/>
        </w:rPr>
      </w:pPr>
      <w:bookmarkStart w:id="504" w:name="_Toc6969"/>
      <w:bookmarkStart w:id="505" w:name="_Toc487900365"/>
      <w:bookmarkStart w:id="506" w:name="_Toc279701255"/>
      <w:bookmarkStart w:id="507" w:name="_Toc259093684"/>
      <w:bookmarkStart w:id="508" w:name="_Toc689"/>
      <w:bookmarkStart w:id="509" w:name="_Toc30676"/>
      <w:r>
        <w:rPr>
          <w:rFonts w:hint="eastAsia" w:ascii="宋体" w:hAnsi="宋体" w:cs="宋体"/>
          <w:b/>
          <w:sz w:val="24"/>
        </w:rPr>
        <w:t>2.13 税费</w:t>
      </w:r>
      <w:bookmarkEnd w:id="504"/>
      <w:bookmarkEnd w:id="505"/>
      <w:bookmarkEnd w:id="506"/>
      <w:bookmarkEnd w:id="507"/>
      <w:bookmarkEnd w:id="508"/>
      <w:bookmarkEnd w:id="509"/>
    </w:p>
    <w:p>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560" w:lineRule="exact"/>
        <w:ind w:firstLine="482" w:firstLineChars="200"/>
        <w:outlineLvl w:val="0"/>
        <w:rPr>
          <w:rFonts w:ascii="宋体" w:hAnsi="宋体" w:cs="宋体"/>
          <w:b/>
          <w:sz w:val="24"/>
        </w:rPr>
      </w:pPr>
      <w:bookmarkStart w:id="510" w:name="_Toc259093687"/>
      <w:bookmarkStart w:id="511" w:name="_Toc8298"/>
      <w:bookmarkStart w:id="512" w:name="_Toc7102"/>
      <w:bookmarkStart w:id="513" w:name="_Toc487900368"/>
      <w:bookmarkStart w:id="514" w:name="_Toc16959"/>
      <w:bookmarkStart w:id="515" w:name="_Toc279701258"/>
      <w:r>
        <w:rPr>
          <w:rFonts w:hint="eastAsia" w:ascii="宋体" w:hAnsi="宋体" w:cs="宋体"/>
          <w:b/>
          <w:sz w:val="24"/>
        </w:rPr>
        <w:t>2.14乙方破产</w:t>
      </w:r>
      <w:bookmarkEnd w:id="510"/>
      <w:bookmarkEnd w:id="511"/>
      <w:bookmarkEnd w:id="512"/>
      <w:bookmarkEnd w:id="513"/>
      <w:bookmarkEnd w:id="514"/>
      <w:bookmarkEnd w:id="515"/>
    </w:p>
    <w:p>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rPr>
      </w:pPr>
      <w:bookmarkStart w:id="516" w:name="_Toc6134"/>
      <w:bookmarkStart w:id="517" w:name="_Toc29333"/>
      <w:bookmarkStart w:id="518" w:name="_Toc15387"/>
      <w:r>
        <w:rPr>
          <w:rFonts w:hint="eastAsia" w:ascii="宋体" w:hAnsi="宋体" w:cs="宋体"/>
          <w:b/>
          <w:sz w:val="24"/>
        </w:rPr>
        <w:t>2.15 合同中止、终止</w:t>
      </w:r>
      <w:bookmarkEnd w:id="516"/>
      <w:bookmarkEnd w:id="517"/>
      <w:bookmarkEnd w:id="518"/>
    </w:p>
    <w:p>
      <w:pPr>
        <w:spacing w:line="560" w:lineRule="exact"/>
        <w:ind w:firstLine="480" w:firstLineChars="200"/>
        <w:rPr>
          <w:rFonts w:ascii="宋体" w:hAnsi="宋体" w:cs="宋体"/>
          <w:sz w:val="24"/>
        </w:rPr>
      </w:pPr>
      <w:r>
        <w:rPr>
          <w:rFonts w:hint="eastAsia" w:ascii="宋体" w:hAnsi="宋体" w:cs="宋体"/>
          <w:sz w:val="24"/>
        </w:rPr>
        <w:t>2.15.1 双方当事人不得擅自中止或者终止合同；</w:t>
      </w:r>
    </w:p>
    <w:p>
      <w:pPr>
        <w:spacing w:line="560" w:lineRule="exact"/>
        <w:ind w:firstLine="480" w:firstLineChars="200"/>
        <w:rPr>
          <w:rFonts w:ascii="宋体" w:hAnsi="宋体" w:cs="宋体"/>
          <w:sz w:val="24"/>
        </w:rPr>
      </w:pPr>
      <w:r>
        <w:rPr>
          <w:rFonts w:hint="eastAsia" w:ascii="宋体" w:hAnsi="宋体" w:cs="宋体"/>
          <w:sz w:val="24"/>
        </w:rPr>
        <w:t>2.15.2合同继续履行将损害国家利益和社会公共利益的，双方当事人应当中止或者终止合同。有过错的一方应当承担赔偿责任，双方当事人都有过错的，各自承担相应的责任。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rPr>
      </w:pPr>
      <w:bookmarkStart w:id="519" w:name="_Toc14563"/>
      <w:bookmarkStart w:id="520" w:name="_Toc1125"/>
      <w:bookmarkStart w:id="521" w:name="_Toc6596"/>
      <w:r>
        <w:rPr>
          <w:rFonts w:hint="eastAsia" w:ascii="宋体" w:hAnsi="宋体" w:cs="宋体"/>
          <w:b/>
          <w:sz w:val="24"/>
        </w:rPr>
        <w:t>2.16检验和验收</w:t>
      </w:r>
      <w:bookmarkEnd w:id="519"/>
      <w:bookmarkEnd w:id="520"/>
      <w:bookmarkEnd w:id="521"/>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2.16.1货物交付前，乙方应对货物的质量、数量等方面进行详细、全面的检验，并向甲方出具证明货物符合合同约定的文件；货物交付时，甲方在</w:t>
      </w:r>
      <w:r>
        <w:rPr>
          <w:rFonts w:hint="eastAsia" w:ascii="宋体" w:hAnsi="宋体" w:cs="宋体"/>
          <w:b/>
          <w:i/>
          <w:sz w:val="24"/>
          <w:u w:val="single"/>
        </w:rPr>
        <w:t>合同专用条款</w:t>
      </w:r>
      <w:r>
        <w:rPr>
          <w:rFonts w:hint="eastAsia" w:ascii="宋体" w:hAnsi="宋体" w:cs="宋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491"/>
    <w:bookmarkEnd w:id="492"/>
    <w:bookmarkEnd w:id="493"/>
    <w:bookmarkEnd w:id="494"/>
    <w:p>
      <w:pPr>
        <w:spacing w:line="560" w:lineRule="exact"/>
        <w:ind w:firstLine="482" w:firstLineChars="200"/>
        <w:outlineLvl w:val="0"/>
        <w:rPr>
          <w:rFonts w:ascii="宋体" w:hAnsi="宋体" w:cs="宋体"/>
          <w:b/>
          <w:sz w:val="24"/>
        </w:rPr>
      </w:pPr>
      <w:bookmarkStart w:id="522" w:name="_Toc279701261"/>
      <w:bookmarkStart w:id="523" w:name="_Toc259093690"/>
      <w:bookmarkStart w:id="524" w:name="_Toc487900371"/>
      <w:bookmarkStart w:id="525" w:name="_Toc11284"/>
      <w:bookmarkStart w:id="526" w:name="_Toc19604"/>
      <w:bookmarkStart w:id="527" w:name="_Toc25182"/>
      <w:r>
        <w:rPr>
          <w:rFonts w:hint="eastAsia" w:ascii="宋体" w:hAnsi="宋体" w:cs="宋体"/>
          <w:b/>
          <w:sz w:val="24"/>
        </w:rPr>
        <w:t>2.17 通知</w:t>
      </w:r>
      <w:bookmarkEnd w:id="522"/>
      <w:bookmarkEnd w:id="523"/>
      <w:bookmarkEnd w:id="524"/>
      <w:r>
        <w:rPr>
          <w:rFonts w:hint="eastAsia" w:ascii="宋体" w:hAnsi="宋体" w:cs="宋体"/>
          <w:b/>
          <w:sz w:val="24"/>
        </w:rPr>
        <w:t>和送达</w:t>
      </w:r>
      <w:bookmarkEnd w:id="525"/>
      <w:bookmarkEnd w:id="526"/>
      <w:bookmarkEnd w:id="527"/>
    </w:p>
    <w:p>
      <w:pPr>
        <w:spacing w:line="560" w:lineRule="exact"/>
        <w:ind w:firstLine="480" w:firstLineChars="200"/>
        <w:rPr>
          <w:rFonts w:ascii="宋体" w:hAnsi="宋体" w:cs="宋体"/>
          <w:sz w:val="24"/>
        </w:rPr>
      </w:pPr>
      <w:bookmarkStart w:id="528" w:name="_Toc6698"/>
      <w:bookmarkStart w:id="529" w:name="_Toc3135"/>
      <w:bookmarkStart w:id="530" w:name="_Toc487900372"/>
      <w:bookmarkStart w:id="531" w:name="_Toc259093691"/>
      <w:bookmarkStart w:id="532" w:name="_Toc279701262"/>
      <w:r>
        <w:rPr>
          <w:rFonts w:hint="eastAsia" w:ascii="宋体" w:hAnsi="宋体" w:cs="宋体"/>
          <w:sz w:val="24"/>
        </w:rPr>
        <w:t>2.17.1任何一方因履行合同而以合同第一部分尾部所列明的传真或电子邮件 发出的所有通知、文件、材料，均视为已向对方当事人送达；任何一方变更上述送达方式或者地址的，应于</w:t>
      </w:r>
      <w:r>
        <w:rPr>
          <w:rFonts w:hint="eastAsia" w:ascii="宋体" w:hAnsi="宋体" w:cs="宋体"/>
          <w:sz w:val="24"/>
          <w:u w:val="single"/>
        </w:rPr>
        <w:t>3</w:t>
      </w:r>
      <w:r>
        <w:rPr>
          <w:rFonts w:hint="eastAsia" w:ascii="宋体" w:hAnsi="宋体" w:cs="宋体"/>
          <w:sz w:val="24"/>
        </w:rPr>
        <w:t>个工作日内书面通知对方当事人，在对方当事人收到有关变更通知之前，变更前的约定送达方式或者地址仍视为有效。</w:t>
      </w:r>
      <w:bookmarkEnd w:id="528"/>
      <w:bookmarkEnd w:id="529"/>
    </w:p>
    <w:p>
      <w:pPr>
        <w:spacing w:line="560" w:lineRule="exact"/>
        <w:ind w:firstLine="480" w:firstLineChars="200"/>
        <w:rPr>
          <w:rFonts w:ascii="宋体" w:hAnsi="宋体" w:cs="宋体"/>
          <w:sz w:val="24"/>
        </w:rPr>
      </w:pPr>
      <w:bookmarkStart w:id="533" w:name="_Toc23128"/>
      <w:bookmarkStart w:id="534" w:name="_Toc23294"/>
      <w:r>
        <w:rPr>
          <w:rFonts w:hint="eastAsia" w:ascii="宋体" w:hAnsi="宋体" w:cs="宋体"/>
          <w:sz w:val="24"/>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3"/>
      <w:bookmarkEnd w:id="534"/>
    </w:p>
    <w:p>
      <w:pPr>
        <w:spacing w:line="560" w:lineRule="exact"/>
        <w:ind w:firstLine="482" w:firstLineChars="200"/>
        <w:outlineLvl w:val="0"/>
        <w:rPr>
          <w:rFonts w:ascii="宋体" w:hAnsi="宋体" w:cs="宋体"/>
          <w:b/>
          <w:sz w:val="24"/>
        </w:rPr>
      </w:pPr>
      <w:bookmarkStart w:id="535" w:name="_Toc18540"/>
      <w:bookmarkStart w:id="536" w:name="_Toc4355"/>
      <w:bookmarkStart w:id="537" w:name="_Toc30599"/>
      <w:r>
        <w:rPr>
          <w:rFonts w:hint="eastAsia" w:ascii="宋体" w:hAnsi="宋体" w:cs="宋体"/>
          <w:b/>
          <w:sz w:val="24"/>
        </w:rPr>
        <w:t>2.18 计量单位</w:t>
      </w:r>
      <w:bookmarkEnd w:id="530"/>
      <w:bookmarkEnd w:id="531"/>
      <w:bookmarkEnd w:id="532"/>
      <w:bookmarkEnd w:id="535"/>
      <w:bookmarkEnd w:id="536"/>
      <w:bookmarkEnd w:id="537"/>
    </w:p>
    <w:p>
      <w:pPr>
        <w:spacing w:line="560" w:lineRule="exact"/>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560" w:lineRule="exact"/>
        <w:ind w:firstLine="482" w:firstLineChars="200"/>
        <w:outlineLvl w:val="0"/>
        <w:rPr>
          <w:rFonts w:ascii="宋体" w:hAnsi="宋体" w:cs="宋体"/>
          <w:b/>
          <w:sz w:val="24"/>
        </w:rPr>
      </w:pPr>
      <w:bookmarkStart w:id="538" w:name="_Toc18567"/>
      <w:bookmarkStart w:id="539" w:name="_Toc279701263"/>
      <w:bookmarkStart w:id="540" w:name="_Toc10330"/>
      <w:bookmarkStart w:id="541" w:name="_Toc259093692"/>
      <w:bookmarkStart w:id="542" w:name="_Toc487900373"/>
      <w:bookmarkStart w:id="543" w:name="_Toc12773"/>
      <w:r>
        <w:rPr>
          <w:rFonts w:hint="eastAsia" w:ascii="宋体" w:hAnsi="宋体" w:cs="宋体"/>
          <w:b/>
          <w:sz w:val="24"/>
        </w:rPr>
        <w:t>2.19 合同使用的文字和适用的法律</w:t>
      </w:r>
      <w:bookmarkEnd w:id="538"/>
      <w:bookmarkEnd w:id="539"/>
      <w:bookmarkEnd w:id="540"/>
      <w:bookmarkEnd w:id="541"/>
      <w:bookmarkEnd w:id="542"/>
      <w:bookmarkEnd w:id="543"/>
    </w:p>
    <w:p>
      <w:pPr>
        <w:spacing w:line="560" w:lineRule="exact"/>
        <w:ind w:firstLine="480" w:firstLineChars="200"/>
        <w:rPr>
          <w:rFonts w:ascii="宋体" w:hAnsi="宋体" w:cs="宋体"/>
          <w:sz w:val="24"/>
        </w:rPr>
      </w:pPr>
      <w:r>
        <w:rPr>
          <w:rFonts w:hint="eastAsia" w:ascii="宋体" w:hAnsi="宋体" w:cs="宋体"/>
          <w:sz w:val="24"/>
        </w:rPr>
        <w:t>2.19.1 合同使用汉语书就、变更和解释；</w:t>
      </w:r>
    </w:p>
    <w:p>
      <w:pPr>
        <w:spacing w:line="560" w:lineRule="exact"/>
        <w:ind w:firstLine="480" w:firstLineChars="200"/>
        <w:rPr>
          <w:rFonts w:ascii="宋体" w:hAnsi="宋体" w:cs="宋体"/>
          <w:sz w:val="24"/>
        </w:rPr>
      </w:pPr>
      <w:r>
        <w:rPr>
          <w:rFonts w:hint="eastAsia" w:ascii="宋体" w:hAnsi="宋体" w:cs="宋体"/>
          <w:sz w:val="24"/>
        </w:rPr>
        <w:t>2.19.2 合同适用中华人民共和国法律。</w:t>
      </w:r>
    </w:p>
    <w:p>
      <w:pPr>
        <w:spacing w:line="560" w:lineRule="exact"/>
        <w:ind w:firstLine="482" w:firstLineChars="200"/>
        <w:outlineLvl w:val="0"/>
        <w:rPr>
          <w:rFonts w:ascii="宋体" w:hAnsi="宋体" w:cs="宋体"/>
          <w:b/>
          <w:sz w:val="24"/>
        </w:rPr>
      </w:pPr>
      <w:bookmarkStart w:id="544" w:name="_Toc19890"/>
      <w:bookmarkStart w:id="545" w:name="_Toc6885"/>
      <w:bookmarkStart w:id="546" w:name="_Toc14001"/>
      <w:r>
        <w:rPr>
          <w:rFonts w:hint="eastAsia" w:ascii="宋体" w:hAnsi="宋体" w:cs="宋体"/>
          <w:b/>
          <w:sz w:val="24"/>
        </w:rPr>
        <w:t>2.20 合同份数</w:t>
      </w:r>
      <w:bookmarkEnd w:id="544"/>
      <w:bookmarkEnd w:id="545"/>
      <w:bookmarkEnd w:id="546"/>
    </w:p>
    <w:p>
      <w:pPr>
        <w:spacing w:line="56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p>
    <w:p>
      <w:pPr>
        <w:adjustRightInd/>
        <w:spacing w:line="360" w:lineRule="auto"/>
        <w:ind w:firstLine="2513" w:firstLineChars="1197"/>
        <w:outlineLvl w:val="0"/>
        <w:rPr>
          <w:rFonts w:ascii="宋体" w:hAnsi="宋体" w:cs="宋体"/>
          <w:b/>
        </w:rPr>
      </w:pPr>
      <w:r>
        <w:rPr>
          <w:rFonts w:hint="eastAsia" w:ascii="宋体" w:hAnsi="宋体" w:cs="宋体"/>
          <w:kern w:val="0"/>
        </w:rPr>
        <w:br w:type="page"/>
      </w:r>
      <w:r>
        <w:rPr>
          <w:rFonts w:hint="eastAsia" w:ascii="宋体" w:hAnsi="宋体" w:cs="宋体"/>
          <w:b/>
          <w:sz w:val="32"/>
          <w:szCs w:val="20"/>
        </w:rPr>
        <w:t xml:space="preserve"> 第三部分  合同专用条款</w:t>
      </w:r>
    </w:p>
    <w:p>
      <w:pPr>
        <w:spacing w:line="560" w:lineRule="exact"/>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76"/>
        <w:gridCol w:w="75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5" w:type="pct"/>
            <w:tcBorders>
              <w:lef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条款号</w:t>
            </w:r>
          </w:p>
        </w:tc>
        <w:tc>
          <w:tcPr>
            <w:tcW w:w="4534" w:type="pct"/>
            <w:vAlign w:val="center"/>
          </w:tcPr>
          <w:p>
            <w:pPr>
              <w:spacing w:line="360" w:lineRule="auto"/>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1.4.2</w:t>
            </w:r>
          </w:p>
        </w:tc>
        <w:tc>
          <w:tcPr>
            <w:tcW w:w="453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1.5.1</w:t>
            </w:r>
          </w:p>
        </w:tc>
        <w:tc>
          <w:tcPr>
            <w:tcW w:w="453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1.5.2 </w:t>
            </w:r>
          </w:p>
        </w:tc>
        <w:tc>
          <w:tcPr>
            <w:tcW w:w="453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1.5.3</w:t>
            </w:r>
          </w:p>
        </w:tc>
        <w:tc>
          <w:tcPr>
            <w:tcW w:w="453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1.6.2</w:t>
            </w:r>
          </w:p>
        </w:tc>
        <w:tc>
          <w:tcPr>
            <w:tcW w:w="453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1.7.1</w:t>
            </w:r>
          </w:p>
        </w:tc>
        <w:tc>
          <w:tcPr>
            <w:tcW w:w="453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1.7.2</w:t>
            </w:r>
          </w:p>
        </w:tc>
        <w:tc>
          <w:tcPr>
            <w:tcW w:w="453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1.7.3</w:t>
            </w:r>
          </w:p>
        </w:tc>
        <w:tc>
          <w:tcPr>
            <w:tcW w:w="453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1.8.6</w:t>
            </w:r>
          </w:p>
        </w:tc>
        <w:tc>
          <w:tcPr>
            <w:tcW w:w="453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w:t>
            </w:r>
          </w:p>
        </w:tc>
        <w:tc>
          <w:tcPr>
            <w:tcW w:w="453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2.3.2</w:t>
            </w:r>
          </w:p>
        </w:tc>
        <w:tc>
          <w:tcPr>
            <w:tcW w:w="4534" w:type="pct"/>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2.4.1</w:t>
            </w:r>
          </w:p>
        </w:tc>
        <w:tc>
          <w:tcPr>
            <w:tcW w:w="4534" w:type="pct"/>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2.4.3</w:t>
            </w:r>
          </w:p>
        </w:tc>
        <w:tc>
          <w:tcPr>
            <w:tcW w:w="453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tcPr>
          <w:p>
            <w:pPr>
              <w:spacing w:line="360" w:lineRule="auto"/>
              <w:rPr>
                <w:rFonts w:ascii="宋体" w:hAnsi="宋体" w:cs="宋体"/>
                <w:sz w:val="24"/>
              </w:rPr>
            </w:pPr>
            <w:r>
              <w:rPr>
                <w:rFonts w:hint="eastAsia" w:ascii="宋体" w:hAnsi="宋体" w:cs="宋体"/>
                <w:sz w:val="24"/>
              </w:rPr>
              <w:t xml:space="preserve">2.8 </w:t>
            </w:r>
          </w:p>
        </w:tc>
        <w:tc>
          <w:tcPr>
            <w:tcW w:w="4534" w:type="pct"/>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2.12.3</w:t>
            </w:r>
          </w:p>
        </w:tc>
        <w:tc>
          <w:tcPr>
            <w:tcW w:w="453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2.12.4</w:t>
            </w:r>
          </w:p>
        </w:tc>
        <w:tc>
          <w:tcPr>
            <w:tcW w:w="453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2.16.1</w:t>
            </w:r>
          </w:p>
        </w:tc>
        <w:tc>
          <w:tcPr>
            <w:tcW w:w="453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6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2.16.3</w:t>
            </w:r>
          </w:p>
        </w:tc>
        <w:tc>
          <w:tcPr>
            <w:tcW w:w="453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65" w:type="pct"/>
            <w:tcBorders>
              <w:left w:val="single" w:color="auto" w:sz="4" w:space="0"/>
            </w:tcBorders>
            <w:vAlign w:val="center"/>
          </w:tcPr>
          <w:p>
            <w:pPr>
              <w:spacing w:line="360" w:lineRule="auto"/>
              <w:ind w:left="-420" w:leftChars="-200" w:right="-420" w:rightChars="-200" w:firstLine="480" w:firstLineChars="200"/>
              <w:outlineLvl w:val="0"/>
              <w:rPr>
                <w:rFonts w:ascii="宋体" w:hAnsi="宋体" w:cs="宋体"/>
                <w:sz w:val="24"/>
              </w:rPr>
            </w:pPr>
            <w:r>
              <w:rPr>
                <w:rFonts w:hint="eastAsia" w:ascii="宋体" w:hAnsi="宋体" w:cs="宋体"/>
                <w:sz w:val="24"/>
              </w:rPr>
              <w:t xml:space="preserve">2.20 </w:t>
            </w:r>
          </w:p>
        </w:tc>
        <w:tc>
          <w:tcPr>
            <w:tcW w:w="4534" w:type="pct"/>
            <w:vAlign w:val="center"/>
          </w:tcPr>
          <w:p>
            <w:pPr>
              <w:spacing w:line="360" w:lineRule="auto"/>
              <w:rPr>
                <w:rFonts w:ascii="宋体" w:hAnsi="宋体" w:cs="宋体"/>
                <w:sz w:val="24"/>
              </w:rPr>
            </w:pPr>
          </w:p>
        </w:tc>
      </w:tr>
    </w:tbl>
    <w:p>
      <w:pPr>
        <w:spacing w:line="360" w:lineRule="auto"/>
        <w:ind w:left="-420" w:leftChars="-200" w:right="-420" w:rightChars="-200" w:firstLine="480" w:firstLineChars="200"/>
        <w:rPr>
          <w:rFonts w:ascii="宋体" w:hAnsi="宋体" w:cs="宋体"/>
          <w:sz w:val="24"/>
        </w:rPr>
      </w:pPr>
    </w:p>
    <w:p>
      <w:pPr>
        <w:spacing w:line="360" w:lineRule="auto"/>
        <w:ind w:left="-420" w:leftChars="-200" w:right="-420" w:rightChars="-200"/>
        <w:rPr>
          <w:rFonts w:ascii="宋体" w:hAnsi="宋体" w:cs="宋体"/>
          <w:sz w:val="24"/>
        </w:rPr>
      </w:pPr>
    </w:p>
    <w:p>
      <w:pPr>
        <w:pStyle w:val="3"/>
      </w:pPr>
    </w:p>
    <w:p/>
    <w:p>
      <w:pPr>
        <w:spacing w:line="360" w:lineRule="auto"/>
        <w:ind w:left="720" w:firstLine="723" w:firstLineChars="200"/>
        <w:outlineLvl w:val="0"/>
        <w:rPr>
          <w:rFonts w:ascii="宋体" w:hAnsi="宋体" w:cs="宋体"/>
          <w:b/>
          <w:sz w:val="36"/>
          <w:szCs w:val="20"/>
        </w:rPr>
      </w:pPr>
      <w:r>
        <w:rPr>
          <w:rFonts w:hint="eastAsia" w:ascii="宋体" w:hAnsi="宋体" w:cs="宋体"/>
          <w:b/>
          <w:sz w:val="36"/>
          <w:szCs w:val="20"/>
        </w:rPr>
        <w:t>第六部分</w:t>
      </w:r>
      <w:bookmarkEnd w:id="396"/>
      <w:bookmarkEnd w:id="397"/>
      <w:r>
        <w:rPr>
          <w:rFonts w:hint="eastAsia" w:ascii="宋体" w:hAnsi="宋体" w:cs="宋体"/>
          <w:b/>
          <w:sz w:val="36"/>
          <w:szCs w:val="20"/>
        </w:rPr>
        <w:t>应提交的有关格式范例</w:t>
      </w:r>
    </w:p>
    <w:p>
      <w:pPr>
        <w:spacing w:line="360" w:lineRule="auto"/>
        <w:jc w:val="center"/>
        <w:outlineLvl w:val="0"/>
        <w:rPr>
          <w:rFonts w:ascii="宋体" w:hAnsi="宋体" w:cs="宋体"/>
          <w:b/>
          <w:kern w:val="0"/>
          <w:sz w:val="36"/>
          <w:szCs w:val="36"/>
        </w:rPr>
      </w:pPr>
    </w:p>
    <w:p>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pPr>
        <w:spacing w:line="360" w:lineRule="auto"/>
        <w:jc w:val="center"/>
        <w:outlineLvl w:val="0"/>
        <w:rPr>
          <w:rFonts w:ascii="宋体" w:hAnsi="宋体" w:cs="宋体"/>
          <w:b/>
          <w:kern w:val="0"/>
          <w:sz w:val="36"/>
          <w:szCs w:val="36"/>
        </w:rPr>
      </w:pPr>
    </w:p>
    <w:p>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pPr>
        <w:snapToGrid w:val="0"/>
        <w:spacing w:line="360" w:lineRule="auto"/>
        <w:rPr>
          <w:rFonts w:ascii="宋体" w:hAnsi="宋体" w:cs="宋体"/>
          <w:sz w:val="24"/>
        </w:rPr>
      </w:pPr>
      <w:r>
        <w:rPr>
          <w:rFonts w:hint="eastAsia" w:ascii="宋体" w:hAnsi="宋体" w:cs="宋体"/>
          <w:sz w:val="24"/>
        </w:rPr>
        <w:t>（2）落实政府采购政策需满足的资格要求………………………………（页码）</w:t>
      </w:r>
    </w:p>
    <w:p>
      <w:pPr>
        <w:snapToGrid w:val="0"/>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numPr>
          <w:ilvl w:val="0"/>
          <w:numId w:val="4"/>
        </w:num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符合参加政府采购活动应当具备的一般条件的</w:t>
      </w:r>
    </w:p>
    <w:p>
      <w:pPr>
        <w:snapToGrid w:val="0"/>
        <w:spacing w:line="360" w:lineRule="auto"/>
        <w:ind w:left="445" w:right="480"/>
        <w:jc w:val="center"/>
        <w:rPr>
          <w:rFonts w:ascii="宋体" w:hAnsi="宋体" w:cs="宋体"/>
          <w:b/>
          <w:kern w:val="0"/>
          <w:sz w:val="32"/>
          <w:szCs w:val="32"/>
        </w:rPr>
      </w:pPr>
      <w:r>
        <w:rPr>
          <w:rFonts w:hint="eastAsia" w:ascii="宋体" w:hAnsi="宋体" w:cs="宋体"/>
          <w:b/>
          <w:kern w:val="0"/>
          <w:sz w:val="32"/>
          <w:szCs w:val="32"/>
        </w:rPr>
        <w:t>承诺函</w:t>
      </w:r>
    </w:p>
    <w:p>
      <w:pPr>
        <w:snapToGrid w:val="0"/>
        <w:spacing w:line="360" w:lineRule="auto"/>
        <w:rPr>
          <w:rFonts w:ascii="宋体" w:hAnsi="宋体" w:cs="宋体"/>
          <w:sz w:val="24"/>
        </w:rPr>
      </w:pPr>
      <w:r>
        <w:rPr>
          <w:rFonts w:hint="eastAsia" w:ascii="宋体" w:hAnsi="宋体" w:cs="宋体"/>
          <w:sz w:val="24"/>
        </w:rPr>
        <w:t>（采购人）、（采购代理机构）：</w:t>
      </w:r>
    </w:p>
    <w:p>
      <w:pPr>
        <w:snapToGrid w:val="0"/>
        <w:spacing w:line="360" w:lineRule="auto"/>
        <w:ind w:firstLine="480" w:firstLineChars="200"/>
        <w:rPr>
          <w:rFonts w:ascii="宋体" w:hAnsi="宋体" w:cs="宋体"/>
          <w:sz w:val="24"/>
        </w:rPr>
      </w:pPr>
      <w:r>
        <w:rPr>
          <w:rFonts w:hint="eastAsia" w:ascii="宋体" w:hAnsi="宋体" w:cs="宋体"/>
          <w:sz w:val="24"/>
        </w:rPr>
        <w:t>我方参与（项目名称）【招标编号：（采购编号）】政府采购活动，郑重承诺：</w:t>
      </w:r>
    </w:p>
    <w:p>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pPr>
        <w:snapToGrid w:val="0"/>
        <w:spacing w:line="360" w:lineRule="auto"/>
        <w:ind w:firstLine="5520" w:firstLineChars="2300"/>
        <w:rPr>
          <w:rFonts w:ascii="宋体" w:hAnsi="宋体" w:cs="宋体"/>
          <w:kern w:val="0"/>
          <w:sz w:val="24"/>
          <w:lang w:val="zh-CN"/>
        </w:rPr>
      </w:pPr>
    </w:p>
    <w:p>
      <w:pPr>
        <w:snapToGrid w:val="0"/>
        <w:spacing w:line="360" w:lineRule="auto"/>
        <w:ind w:firstLine="5520" w:firstLineChars="2300"/>
        <w:rPr>
          <w:rFonts w:ascii="宋体" w:hAnsi="宋体" w:cs="宋体"/>
          <w:kern w:val="0"/>
          <w:sz w:val="24"/>
          <w:lang w:val="zh-CN"/>
        </w:rPr>
      </w:pPr>
    </w:p>
    <w:p>
      <w:pPr>
        <w:snapToGrid w:val="0"/>
        <w:spacing w:line="360" w:lineRule="auto"/>
        <w:ind w:firstLine="5520" w:firstLineChars="2300"/>
        <w:jc w:val="right"/>
        <w:rPr>
          <w:rFonts w:ascii="宋体" w:hAnsi="宋体" w:cs="宋体"/>
          <w:kern w:val="0"/>
          <w:sz w:val="24"/>
        </w:rPr>
      </w:pPr>
      <w:r>
        <w:rPr>
          <w:rFonts w:hint="eastAsia" w:ascii="宋体" w:hAnsi="宋体" w:cs="宋体"/>
          <w:kern w:val="0"/>
          <w:sz w:val="24"/>
          <w:lang w:val="zh-CN"/>
        </w:rPr>
        <w:t>投标人名称(电子签名)：</w:t>
      </w:r>
    </w:p>
    <w:p>
      <w:pPr>
        <w:snapToGrid w:val="0"/>
        <w:spacing w:line="360" w:lineRule="auto"/>
        <w:jc w:val="right"/>
        <w:rPr>
          <w:rFonts w:ascii="宋体" w:hAnsi="宋体" w:cs="宋体"/>
          <w:kern w:val="0"/>
          <w:sz w:val="24"/>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月日</w:t>
      </w: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rPr>
          <w:rFonts w:ascii="宋体" w:hAnsi="宋体" w:cs="宋体"/>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二、落实政府采购政策需满足的资格要求</w:t>
      </w:r>
    </w:p>
    <w:p>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w:t>
      </w:r>
    </w:p>
    <w:p>
      <w:pPr>
        <w:snapToGrid w:val="0"/>
        <w:spacing w:before="120" w:after="50" w:line="360" w:lineRule="auto"/>
        <w:ind w:firstLine="470" w:firstLineChars="196"/>
        <w:jc w:val="left"/>
        <w:rPr>
          <w:rFonts w:ascii="宋体" w:hAnsi="宋体" w:cs="宋体"/>
          <w:sz w:val="24"/>
        </w:rPr>
      </w:pPr>
    </w:p>
    <w:p>
      <w:pPr>
        <w:snapToGrid w:val="0"/>
        <w:spacing w:before="120" w:after="50" w:line="360" w:lineRule="auto"/>
        <w:ind w:firstLine="470" w:firstLineChars="196"/>
        <w:jc w:val="left"/>
        <w:rPr>
          <w:rFonts w:ascii="宋体" w:hAnsi="宋体" w:cs="宋体"/>
          <w:sz w:val="24"/>
        </w:rPr>
      </w:pPr>
    </w:p>
    <w:p>
      <w:pPr>
        <w:widowControl/>
        <w:spacing w:line="360" w:lineRule="auto"/>
        <w:ind w:firstLine="480"/>
        <w:jc w:val="left"/>
        <w:rPr>
          <w:rFonts w:ascii="宋体" w:hAnsi="宋体" w:cs="宋体"/>
          <w:sz w:val="24"/>
        </w:rPr>
      </w:pPr>
    </w:p>
    <w:p>
      <w:pPr>
        <w:widowControl/>
        <w:spacing w:line="360" w:lineRule="auto"/>
        <w:ind w:left="150"/>
        <w:jc w:val="center"/>
        <w:rPr>
          <w:rFonts w:ascii="宋体" w:hAnsi="宋体" w:cs="宋体"/>
          <w:b/>
          <w:kern w:val="0"/>
          <w:sz w:val="32"/>
          <w:szCs w:val="32"/>
        </w:rPr>
      </w:pPr>
    </w:p>
    <w:p>
      <w:pPr>
        <w:rPr>
          <w:rFonts w:ascii="宋体" w:hAnsi="宋体" w:cs="宋体"/>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pPr>
        <w:numPr>
          <w:ilvl w:val="0"/>
          <w:numId w:val="5"/>
        </w:numPr>
        <w:snapToGrid w:val="0"/>
        <w:spacing w:line="360" w:lineRule="auto"/>
        <w:rPr>
          <w:rFonts w:ascii="宋体" w:hAnsi="宋体" w:cs="宋体"/>
        </w:rPr>
      </w:pPr>
      <w:r>
        <w:rPr>
          <w:rFonts w:hint="eastAsia" w:ascii="宋体" w:hAnsi="宋体" w:cs="宋体"/>
          <w:sz w:val="24"/>
        </w:rPr>
        <w:t>投标函</w:t>
      </w:r>
      <w:r>
        <w:rPr>
          <w:rFonts w:hint="eastAsia" w:ascii="宋体" w:hAnsi="宋体" w:cs="宋体"/>
        </w:rPr>
        <w:t>…………………………………………………………………………（页码）</w:t>
      </w:r>
    </w:p>
    <w:p>
      <w:pPr>
        <w:snapToGrid w:val="0"/>
        <w:spacing w:line="360" w:lineRule="auto"/>
        <w:rPr>
          <w:rFonts w:ascii="宋体" w:hAnsi="宋体" w:cs="宋体"/>
        </w:rPr>
      </w:pPr>
      <w:r>
        <w:rPr>
          <w:rFonts w:hint="eastAsia" w:ascii="宋体" w:hAnsi="宋体" w:cs="宋体"/>
          <w:sz w:val="24"/>
        </w:rPr>
        <w:t>（2）授权委托书或法定代表人（单位负责人、自然人本人）身份证明</w:t>
      </w:r>
      <w:r>
        <w:rPr>
          <w:rFonts w:hint="eastAsia" w:ascii="宋体" w:hAnsi="宋体" w:cs="宋体"/>
        </w:rPr>
        <w:t>…（页码）</w:t>
      </w:r>
    </w:p>
    <w:p>
      <w:pPr>
        <w:snapToGrid w:val="0"/>
        <w:spacing w:line="360" w:lineRule="auto"/>
        <w:rPr>
          <w:rFonts w:ascii="宋体" w:hAnsi="宋体" w:cs="宋体"/>
        </w:rPr>
      </w:pPr>
      <w:r>
        <w:rPr>
          <w:rFonts w:hint="eastAsia" w:ascii="宋体" w:hAnsi="宋体" w:cs="宋体"/>
          <w:sz w:val="24"/>
        </w:rPr>
        <w:t>（3）符合性审查资料</w:t>
      </w:r>
      <w:r>
        <w:rPr>
          <w:rFonts w:hint="eastAsia" w:ascii="宋体" w:hAnsi="宋体" w:cs="宋体"/>
        </w:rPr>
        <w:t>………………………………………………………（页码）</w:t>
      </w:r>
    </w:p>
    <w:p>
      <w:pPr>
        <w:snapToGrid w:val="0"/>
        <w:spacing w:line="360" w:lineRule="auto"/>
        <w:rPr>
          <w:rFonts w:ascii="宋体" w:hAnsi="宋体" w:cs="宋体"/>
        </w:rPr>
      </w:pPr>
      <w:r>
        <w:rPr>
          <w:rFonts w:hint="eastAsia" w:ascii="宋体" w:hAnsi="宋体" w:cs="宋体"/>
          <w:sz w:val="24"/>
        </w:rPr>
        <w:t>（4）评标标准相应的商务技术资料</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p>
    <w:p>
      <w:pPr>
        <w:snapToGrid w:val="0"/>
        <w:spacing w:line="360" w:lineRule="auto"/>
        <w:rPr>
          <w:rFonts w:ascii="宋体" w:hAnsi="宋体" w:cs="宋体"/>
        </w:rPr>
      </w:pPr>
      <w:r>
        <w:rPr>
          <w:rFonts w:hint="eastAsia" w:ascii="宋体" w:hAnsi="宋体" w:cs="宋体"/>
          <w:sz w:val="24"/>
        </w:rPr>
        <w:t>（5）投标标的清单</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p>
    <w:p>
      <w:pPr>
        <w:snapToGrid w:val="0"/>
        <w:spacing w:line="360" w:lineRule="auto"/>
        <w:rPr>
          <w:rFonts w:ascii="宋体" w:hAnsi="宋体" w:cs="宋体"/>
        </w:rPr>
      </w:pPr>
      <w:r>
        <w:rPr>
          <w:rFonts w:hint="eastAsia" w:ascii="宋体" w:hAnsi="宋体" w:cs="宋体"/>
          <w:sz w:val="24"/>
        </w:rPr>
        <w:t>（6）商务技术偏离表</w:t>
      </w:r>
      <w:r>
        <w:rPr>
          <w:rFonts w:hint="eastAsia" w:ascii="宋体" w:hAnsi="宋体" w:cs="宋体"/>
        </w:rPr>
        <w:t>……………………………………………………（页码）</w:t>
      </w:r>
    </w:p>
    <w:p>
      <w:pPr>
        <w:snapToGrid w:val="0"/>
        <w:spacing w:line="360" w:lineRule="auto"/>
        <w:rPr>
          <w:rFonts w:ascii="宋体" w:hAnsi="宋体" w:cs="宋体"/>
        </w:rPr>
      </w:pP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r>
        <w:rPr>
          <w:rFonts w:hint="eastAsia" w:ascii="宋体" w:hAnsi="宋体" w:cs="宋体"/>
        </w:rPr>
        <w:t>……………………………………（页码）</w:t>
      </w: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outlineLvl w:val="0"/>
        <w:rPr>
          <w:rFonts w:ascii="宋体" w:hAnsi="宋体" w:cs="宋体"/>
          <w:b/>
          <w:kern w:val="0"/>
          <w:sz w:val="32"/>
          <w:szCs w:val="32"/>
        </w:rPr>
      </w:pPr>
    </w:p>
    <w:p>
      <w:pPr>
        <w:snapToGrid w:val="0"/>
        <w:spacing w:line="360" w:lineRule="auto"/>
        <w:jc w:val="center"/>
        <w:outlineLvl w:val="0"/>
        <w:rPr>
          <w:rFonts w:ascii="宋体" w:hAnsi="宋体" w:cs="宋体"/>
          <w:b/>
          <w:kern w:val="0"/>
          <w:sz w:val="32"/>
          <w:szCs w:val="32"/>
        </w:rPr>
      </w:pPr>
    </w:p>
    <w:p>
      <w:pPr>
        <w:rPr>
          <w:rFonts w:ascii="宋体" w:hAnsi="宋体" w:cs="宋体"/>
        </w:rPr>
      </w:pPr>
    </w:p>
    <w:p>
      <w:pPr>
        <w:snapToGrid w:val="0"/>
        <w:spacing w:line="360" w:lineRule="auto"/>
        <w:jc w:val="center"/>
        <w:outlineLvl w:val="0"/>
        <w:rPr>
          <w:rFonts w:ascii="宋体" w:hAnsi="宋体" w:cs="宋体"/>
          <w:b/>
          <w:kern w:val="0"/>
          <w:sz w:val="32"/>
          <w:szCs w:val="32"/>
        </w:rPr>
      </w:pPr>
    </w:p>
    <w:p>
      <w:pPr>
        <w:snapToGrid w:val="0"/>
        <w:spacing w:line="360" w:lineRule="auto"/>
        <w:jc w:val="center"/>
        <w:outlineLvl w:val="0"/>
        <w:rPr>
          <w:rFonts w:ascii="宋体" w:hAnsi="宋体" w:cs="宋体"/>
          <w:b/>
          <w:kern w:val="0"/>
          <w:sz w:val="32"/>
          <w:szCs w:val="32"/>
        </w:rPr>
      </w:pPr>
    </w:p>
    <w:p>
      <w:pPr>
        <w:pStyle w:val="3"/>
        <w:rPr>
          <w:lang w:val="en-US"/>
        </w:rPr>
      </w:pPr>
    </w:p>
    <w:p/>
    <w:p>
      <w:pPr>
        <w:snapToGrid w:val="0"/>
        <w:spacing w:line="360" w:lineRule="auto"/>
        <w:ind w:firstLine="3855" w:firstLineChars="1200"/>
        <w:outlineLvl w:val="0"/>
        <w:rPr>
          <w:rFonts w:ascii="宋体" w:hAnsi="宋体" w:cs="宋体"/>
          <w:b/>
          <w:kern w:val="0"/>
          <w:sz w:val="32"/>
          <w:szCs w:val="32"/>
        </w:rPr>
      </w:pPr>
    </w:p>
    <w:p>
      <w:pPr>
        <w:snapToGrid w:val="0"/>
        <w:spacing w:line="360" w:lineRule="auto"/>
        <w:ind w:firstLine="3855" w:firstLineChars="1200"/>
        <w:outlineLvl w:val="0"/>
        <w:rPr>
          <w:rFonts w:ascii="宋体" w:hAnsi="宋体" w:cs="宋体"/>
          <w:b/>
          <w:kern w:val="0"/>
          <w:sz w:val="32"/>
          <w:szCs w:val="32"/>
        </w:rPr>
      </w:pPr>
    </w:p>
    <w:p>
      <w:pPr>
        <w:snapToGrid w:val="0"/>
        <w:spacing w:line="360" w:lineRule="auto"/>
        <w:ind w:firstLine="3855" w:firstLineChars="1200"/>
        <w:outlineLvl w:val="0"/>
        <w:rPr>
          <w:rFonts w:ascii="宋体" w:hAnsi="宋体" w:cs="宋体"/>
          <w:b/>
          <w:kern w:val="0"/>
          <w:sz w:val="32"/>
          <w:szCs w:val="32"/>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snapToGrid w:val="0"/>
        <w:spacing w:line="360" w:lineRule="auto"/>
        <w:ind w:firstLine="3855" w:firstLineChars="1200"/>
        <w:outlineLvl w:val="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pPr>
        <w:snapToGrid w:val="0"/>
        <w:spacing w:line="360" w:lineRule="auto"/>
        <w:rPr>
          <w:rFonts w:ascii="宋体" w:hAnsi="宋体" w:cs="宋体"/>
          <w:sz w:val="24"/>
        </w:rPr>
      </w:pPr>
      <w:r>
        <w:rPr>
          <w:rFonts w:hint="eastAsia" w:ascii="宋体" w:hAnsi="宋体" w:cs="宋体"/>
          <w:sz w:val="24"/>
        </w:rPr>
        <w:t>（采购人）、（采购代理机构）：</w:t>
      </w:r>
    </w:p>
    <w:p>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lang w:val="en-US" w:eastAsia="zh-CN"/>
        </w:rPr>
        <w:t xml:space="preserve">      </w:t>
      </w:r>
      <w:r>
        <w:rPr>
          <w:rFonts w:hint="eastAsia" w:ascii="宋体" w:hAnsi="宋体" w:cs="宋体"/>
          <w:sz w:val="24"/>
        </w:rPr>
        <w:t>天</w:t>
      </w:r>
      <w:r>
        <w:rPr>
          <w:rFonts w:hint="eastAsia" w:ascii="宋体" w:hAnsi="宋体" w:cs="宋体"/>
        </w:rPr>
        <w:t>，</w:t>
      </w:r>
      <w:r>
        <w:rPr>
          <w:rFonts w:hint="eastAsia" w:ascii="宋体" w:hAnsi="宋体" w:cs="宋体"/>
          <w:sz w:val="24"/>
        </w:rPr>
        <w:t>本投标文件在投标有效期满之前均具有约束力。</w:t>
      </w:r>
    </w:p>
    <w:p>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2落实政府采购政策需满足的资格要求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2商务技术</w:t>
      </w:r>
      <w:r>
        <w:rPr>
          <w:rFonts w:hint="eastAsia" w:ascii="宋体" w:hAnsi="宋体" w:cs="宋体"/>
          <w:sz w:val="24"/>
          <w:lang w:val="zh-CN"/>
        </w:rPr>
        <w:t>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2.2.3符合性审查资料；</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2.2.4评标标准相应的商务技术资料；</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2.2.5投标标的清单；</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2.2.6商务技术偏离表；</w:t>
      </w:r>
    </w:p>
    <w:p>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2.3.2中小企业声明函（如有）。</w:t>
      </w:r>
    </w:p>
    <w:p>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4.3在合同约定的期限内完成合同规定的全部义务。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p>
    <w:p>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pPr>
        <w:spacing w:line="360" w:lineRule="auto"/>
        <w:jc w:val="center"/>
        <w:rPr>
          <w:rFonts w:ascii="宋体" w:hAnsi="宋体" w:cs="宋体"/>
          <w:kern w:val="0"/>
          <w:sz w:val="24"/>
          <w:u w:val="single"/>
        </w:rPr>
      </w:pPr>
      <w:r>
        <w:rPr>
          <w:rFonts w:hint="eastAsia" w:ascii="宋体" w:hAnsi="宋体" w:cs="宋体"/>
          <w:sz w:val="24"/>
        </w:rPr>
        <w:t xml:space="preserve">     日期：  年   月   日</w:t>
      </w:r>
    </w:p>
    <w:p>
      <w:pPr>
        <w:spacing w:line="360" w:lineRule="auto"/>
        <w:ind w:right="420"/>
        <w:rPr>
          <w:rFonts w:ascii="宋体" w:hAnsi="宋体" w:cs="宋体"/>
          <w:sz w:val="24"/>
        </w:rPr>
      </w:pPr>
      <w:r>
        <w:rPr>
          <w:rFonts w:hint="eastAsia" w:ascii="宋体" w:hAnsi="宋体" w:cs="宋体"/>
          <w:sz w:val="24"/>
        </w:rPr>
        <w:t>注：按本格式和要求提供。</w:t>
      </w:r>
    </w:p>
    <w:p>
      <w:pPr>
        <w:snapToGrid w:val="0"/>
        <w:spacing w:line="360" w:lineRule="auto"/>
        <w:jc w:val="center"/>
        <w:rPr>
          <w:rFonts w:ascii="宋体" w:hAnsi="宋体" w:cs="宋体"/>
          <w:b/>
          <w:kern w:val="0"/>
          <w:sz w:val="32"/>
          <w:szCs w:val="32"/>
        </w:rPr>
      </w:pPr>
    </w:p>
    <w:p>
      <w:pPr>
        <w:snapToGrid w:val="0"/>
        <w:spacing w:line="360" w:lineRule="auto"/>
        <w:rPr>
          <w:rFonts w:ascii="宋体" w:hAnsi="宋体" w:cs="宋体"/>
          <w:sz w:val="24"/>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pPr>
        <w:snapToGrid w:val="0"/>
        <w:spacing w:line="360" w:lineRule="auto"/>
        <w:rPr>
          <w:rFonts w:ascii="宋体" w:hAnsi="宋体" w:cs="宋体"/>
          <w:sz w:val="24"/>
        </w:rPr>
      </w:pPr>
    </w:p>
    <w:p>
      <w:pPr>
        <w:snapToGrid w:val="0"/>
        <w:spacing w:line="360" w:lineRule="auto"/>
        <w:ind w:firstLine="3511" w:firstLineChars="1093"/>
        <w:rPr>
          <w:rFonts w:ascii="宋体" w:hAnsi="宋体" w:cs="宋体"/>
        </w:rPr>
      </w:pPr>
      <w:r>
        <w:rPr>
          <w:rFonts w:hint="eastAsia" w:ascii="宋体" w:hAnsi="宋体" w:cs="宋体"/>
          <w:b/>
          <w:kern w:val="0"/>
          <w:sz w:val="32"/>
          <w:szCs w:val="32"/>
          <w:lang w:val="zh-CN"/>
        </w:rPr>
        <w:t>授权委托书</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委托（姓名）为我方代理人（身份证号码：，手机：），以我方名义处理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自年月日起至年月日止。</w:t>
      </w:r>
    </w:p>
    <w:p>
      <w:pPr>
        <w:snapToGrid w:val="0"/>
        <w:spacing w:line="360" w:lineRule="auto"/>
        <w:rPr>
          <w:rFonts w:ascii="宋体" w:hAnsi="宋体" w:cs="宋体"/>
          <w:kern w:val="0"/>
          <w:sz w:val="24"/>
        </w:rPr>
      </w:pPr>
      <w:r>
        <w:rPr>
          <w:rFonts w:hint="eastAsia" w:ascii="宋体" w:hAnsi="宋体" w:cs="宋体"/>
          <w:kern w:val="0"/>
          <w:sz w:val="24"/>
          <w:lang w:val="zh-CN"/>
        </w:rPr>
        <w:t>特此告知。</w:t>
      </w:r>
    </w:p>
    <w:p>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投标人名称(电子签名)：</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pPr>
        <w:snapToGrid w:val="0"/>
        <w:spacing w:line="360" w:lineRule="auto"/>
        <w:rPr>
          <w:rFonts w:ascii="宋体" w:hAnsi="宋体" w:cs="宋体"/>
          <w:sz w:val="24"/>
        </w:rPr>
      </w:pPr>
    </w:p>
    <w:p>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pPr>
        <w:pStyle w:val="148"/>
        <w:spacing w:line="360" w:lineRule="auto"/>
        <w:rPr>
          <w:rFonts w:hAnsi="宋体" w:cs="宋体"/>
          <w:bCs/>
          <w:sz w:val="24"/>
        </w:rPr>
      </w:pPr>
      <w:r>
        <w:rPr>
          <w:rFonts w:hint="eastAsia" w:hAnsi="宋体" w:cs="宋体"/>
          <w:bCs/>
          <w:sz w:val="24"/>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9" w:hRule="atLeast"/>
          <w:jc w:val="center"/>
        </w:trPr>
        <w:tc>
          <w:tcPr>
            <w:tcW w:w="9207" w:type="dxa"/>
          </w:tcPr>
          <w:p>
            <w:pPr>
              <w:pStyle w:val="148"/>
              <w:adjustRightInd w:val="0"/>
              <w:spacing w:line="360" w:lineRule="auto"/>
              <w:rPr>
                <w:rFonts w:hAnsi="宋体" w:cs="宋体"/>
                <w:bCs/>
                <w:sz w:val="24"/>
              </w:rPr>
            </w:pPr>
            <w:r>
              <w:rPr>
                <w:rFonts w:hint="eastAsia" w:hAnsi="宋体" w:cs="宋体"/>
                <w:bCs/>
                <w:sz w:val="24"/>
              </w:rPr>
              <w:t>正面：                                 反面：</w:t>
            </w:r>
          </w:p>
          <w:p>
            <w:pPr>
              <w:pStyle w:val="148"/>
              <w:adjustRightInd w:val="0"/>
              <w:spacing w:line="360" w:lineRule="auto"/>
              <w:rPr>
                <w:rFonts w:hAnsi="宋体" w:cs="宋体"/>
                <w:bCs/>
                <w:sz w:val="24"/>
              </w:rPr>
            </w:pPr>
          </w:p>
        </w:tc>
      </w:tr>
    </w:tbl>
    <w:p>
      <w:pPr>
        <w:snapToGrid w:val="0"/>
        <w:spacing w:line="360" w:lineRule="auto"/>
        <w:ind w:firstLine="576"/>
        <w:jc w:val="center"/>
        <w:rPr>
          <w:rFonts w:ascii="宋体" w:hAnsi="宋体" w:cs="宋体"/>
          <w:kern w:val="0"/>
          <w:sz w:val="24"/>
          <w:lang w:val="zh-CN"/>
        </w:rPr>
      </w:pPr>
    </w:p>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pPr>
        <w:jc w:val="center"/>
        <w:rPr>
          <w:rFonts w:ascii="宋体" w:hAnsi="宋体" w:cs="宋体"/>
          <w:b/>
          <w:kern w:val="0"/>
          <w:sz w:val="32"/>
          <w:szCs w:val="32"/>
        </w:rPr>
      </w:pPr>
    </w:p>
    <w:p>
      <w:pPr>
        <w:jc w:val="center"/>
        <w:rPr>
          <w:rFonts w:hint="eastAsia"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三、符合性审查资料</w:t>
      </w:r>
    </w:p>
    <w:p>
      <w:pPr>
        <w:jc w:val="center"/>
        <w:rPr>
          <w:rFonts w:ascii="宋体" w:hAnsi="宋体" w:cs="宋体"/>
          <w:b/>
          <w:kern w:val="0"/>
          <w:sz w:val="32"/>
          <w:szCs w:val="32"/>
        </w:rPr>
      </w:pPr>
    </w:p>
    <w:tbl>
      <w:tblPr>
        <w:tblStyle w:val="63"/>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pPr>
              <w:snapToGrid w:val="0"/>
              <w:spacing w:line="240" w:lineRule="atLeast"/>
              <w:jc w:val="center"/>
              <w:rPr>
                <w:rFonts w:ascii="宋体" w:hAnsi="宋体" w:cs="宋体"/>
                <w:b/>
                <w:sz w:val="24"/>
              </w:rPr>
            </w:pPr>
            <w:r>
              <w:rPr>
                <w:rFonts w:hint="eastAsia" w:ascii="宋体" w:hAnsi="宋体" w:cs="宋体"/>
                <w:b/>
                <w:sz w:val="24"/>
              </w:rPr>
              <w:t>投标文件中的</w:t>
            </w:r>
          </w:p>
          <w:p>
            <w:pPr>
              <w:snapToGrid w:val="0"/>
              <w:spacing w:line="240" w:lineRule="atLeast"/>
              <w:jc w:val="center"/>
              <w:rPr>
                <w:rFonts w:ascii="宋体" w:hAnsi="宋体" w:cs="宋体"/>
                <w:b/>
                <w:sz w:val="24"/>
              </w:rPr>
            </w:pPr>
            <w:r>
              <w:rPr>
                <w:rFonts w:hint="eastAsia" w:ascii="宋体" w:hAnsi="宋体" w:cs="宋体"/>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pPr>
              <w:jc w:val="center"/>
              <w:rPr>
                <w:rFonts w:ascii="宋体" w:hAnsi="宋体" w:cs="宋体"/>
                <w:sz w:val="24"/>
              </w:rPr>
            </w:pPr>
            <w:r>
              <w:rPr>
                <w:rFonts w:hint="eastAsia" w:ascii="宋体" w:hAnsi="宋体" w:cs="宋体"/>
                <w:sz w:val="24"/>
              </w:rPr>
              <w:t>1</w:t>
            </w:r>
          </w:p>
        </w:tc>
        <w:tc>
          <w:tcPr>
            <w:tcW w:w="4991" w:type="dxa"/>
            <w:vAlign w:val="center"/>
          </w:tcPr>
          <w:p>
            <w:pPr>
              <w:spacing w:line="360" w:lineRule="auto"/>
              <w:jc w:val="center"/>
              <w:rPr>
                <w:rFonts w:ascii="宋体" w:hAnsi="宋体" w:cs="宋体"/>
                <w:sz w:val="24"/>
              </w:rPr>
            </w:pPr>
            <w:r>
              <w:rPr>
                <w:rFonts w:hint="eastAsia" w:ascii="宋体" w:hAnsi="宋体" w:cs="宋体"/>
                <w:sz w:val="24"/>
              </w:rPr>
              <w:t>投标文件按照招标文件要求签署、盖章。</w:t>
            </w:r>
          </w:p>
        </w:tc>
        <w:tc>
          <w:tcPr>
            <w:tcW w:w="2551" w:type="dxa"/>
            <w:vAlign w:val="center"/>
          </w:tcPr>
          <w:p>
            <w:pPr>
              <w:rPr>
                <w:rFonts w:ascii="宋体" w:hAnsi="宋体" w:cs="宋体"/>
                <w:sz w:val="24"/>
              </w:rPr>
            </w:pPr>
            <w:r>
              <w:rPr>
                <w:rFonts w:hint="eastAsia" w:ascii="宋体" w:hAnsi="宋体" w:cs="宋体"/>
                <w:sz w:val="24"/>
              </w:rPr>
              <w:t>需要使用电子签名或者签字盖章的投标文件的组成部分</w:t>
            </w:r>
          </w:p>
        </w:tc>
        <w:tc>
          <w:tcPr>
            <w:tcW w:w="1418" w:type="dxa"/>
            <w:vAlign w:val="center"/>
          </w:tcPr>
          <w:p>
            <w:pPr>
              <w:jc w:val="center"/>
              <w:rPr>
                <w:rFonts w:ascii="宋体" w:hAnsi="宋体" w:cs="宋体"/>
                <w:sz w:val="24"/>
              </w:rPr>
            </w:pPr>
          </w:p>
          <w:p>
            <w:pPr>
              <w:jc w:val="center"/>
              <w:rPr>
                <w:rFonts w:ascii="宋体" w:hAnsi="宋体" w:cs="宋体"/>
                <w:sz w:val="24"/>
              </w:rPr>
            </w:pPr>
            <w:r>
              <w:rPr>
                <w:rFonts w:hint="eastAsia" w:ascii="宋体" w:hAnsi="宋体" w:cs="宋体"/>
                <w:sz w:val="24"/>
              </w:rPr>
              <w:t>见投标文件</w:t>
            </w:r>
          </w:p>
          <w:p>
            <w:pPr>
              <w:jc w:val="center"/>
              <w:rPr>
                <w:rFonts w:ascii="宋体" w:hAnsi="宋体" w:cs="宋体"/>
              </w:rPr>
            </w:pPr>
            <w:r>
              <w:rPr>
                <w:rFonts w:hint="eastAsia" w:ascii="宋体" w:hAnsi="宋体" w:cs="宋体"/>
                <w:sz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pPr>
              <w:jc w:val="center"/>
              <w:rPr>
                <w:rFonts w:ascii="宋体" w:hAnsi="宋体" w:cs="宋体"/>
                <w:sz w:val="24"/>
              </w:rPr>
            </w:pPr>
            <w:r>
              <w:rPr>
                <w:rFonts w:hint="eastAsia" w:ascii="宋体" w:hAnsi="宋体" w:cs="宋体"/>
                <w:sz w:val="24"/>
              </w:rPr>
              <w:t>2</w:t>
            </w:r>
          </w:p>
        </w:tc>
        <w:tc>
          <w:tcPr>
            <w:tcW w:w="4991" w:type="dxa"/>
            <w:vAlign w:val="center"/>
          </w:tcPr>
          <w:p>
            <w:pPr>
              <w:spacing w:line="360" w:lineRule="auto"/>
              <w:jc w:val="center"/>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pPr>
              <w:rPr>
                <w:rFonts w:ascii="宋体" w:hAnsi="宋体" w:cs="宋体"/>
                <w:sz w:val="24"/>
              </w:rPr>
            </w:pPr>
            <w:r>
              <w:rPr>
                <w:rFonts w:hint="eastAsia" w:ascii="宋体" w:hAnsi="宋体" w:cs="宋体"/>
                <w:sz w:val="24"/>
              </w:rPr>
              <w:t>投标函</w:t>
            </w:r>
          </w:p>
        </w:tc>
        <w:tc>
          <w:tcPr>
            <w:tcW w:w="1418" w:type="dxa"/>
            <w:vAlign w:val="center"/>
          </w:tcPr>
          <w:p>
            <w:pPr>
              <w:jc w:val="center"/>
              <w:rPr>
                <w:rFonts w:ascii="宋体" w:hAnsi="宋体" w:cs="宋体"/>
              </w:rPr>
            </w:pPr>
            <w:r>
              <w:rPr>
                <w:rFonts w:hint="eastAsia" w:ascii="宋体" w:hAnsi="宋体" w:cs="宋体"/>
                <w:sz w:val="24"/>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pPr>
              <w:jc w:val="center"/>
              <w:rPr>
                <w:rFonts w:ascii="宋体" w:hAnsi="宋体" w:cs="宋体"/>
                <w:sz w:val="24"/>
              </w:rPr>
            </w:pPr>
            <w:r>
              <w:rPr>
                <w:rFonts w:hint="eastAsia" w:ascii="宋体" w:hAnsi="宋体" w:cs="宋体"/>
                <w:sz w:val="24"/>
              </w:rPr>
              <w:t>3</w:t>
            </w:r>
          </w:p>
        </w:tc>
        <w:tc>
          <w:tcPr>
            <w:tcW w:w="4991" w:type="dxa"/>
            <w:vAlign w:val="center"/>
          </w:tcPr>
          <w:p>
            <w:pPr>
              <w:spacing w:line="360" w:lineRule="auto"/>
              <w:jc w:val="center"/>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vAlign w:val="center"/>
          </w:tcPr>
          <w:p>
            <w:pPr>
              <w:jc w:val="center"/>
              <w:rPr>
                <w:rFonts w:ascii="宋体" w:hAnsi="宋体" w:cs="宋体"/>
              </w:rPr>
            </w:pPr>
            <w:r>
              <w:rPr>
                <w:rFonts w:hint="eastAsia" w:ascii="宋体" w:hAnsi="宋体" w:cs="宋体"/>
                <w:sz w:val="24"/>
              </w:rPr>
              <w:t>见投标文件第页</w:t>
            </w:r>
          </w:p>
        </w:tc>
      </w:tr>
    </w:tbl>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jc w:val="center"/>
        <w:rPr>
          <w:rFonts w:ascii="宋体" w:hAnsi="宋体" w:cs="宋体"/>
        </w:rPr>
      </w:pPr>
      <w:r>
        <w:rPr>
          <w:rFonts w:hint="eastAsia" w:ascii="宋体" w:hAnsi="宋体" w:cs="宋体"/>
          <w:b/>
          <w:kern w:val="0"/>
          <w:sz w:val="32"/>
          <w:szCs w:val="32"/>
        </w:rPr>
        <w:t>四、评标标准相应的商务技术资料</w:t>
      </w:r>
    </w:p>
    <w:p>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ind w:firstLine="2891" w:firstLineChars="900"/>
        <w:rPr>
          <w:rFonts w:ascii="宋体" w:hAnsi="宋体" w:cs="宋体"/>
          <w:b/>
          <w:kern w:val="0"/>
          <w:sz w:val="32"/>
          <w:szCs w:val="32"/>
        </w:rPr>
      </w:pPr>
      <w:r>
        <w:rPr>
          <w:rFonts w:hint="eastAsia" w:ascii="宋体" w:hAnsi="宋体" w:cs="宋体"/>
          <w:b/>
          <w:kern w:val="0"/>
          <w:sz w:val="32"/>
          <w:szCs w:val="32"/>
        </w:rPr>
        <w:t>五、投标标的清单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bl>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六、商务技术偏离表</w:t>
      </w:r>
    </w:p>
    <w:tbl>
      <w:tblPr>
        <w:tblStyle w:val="6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ascii="宋体" w:hAnsi="宋体" w:cs="宋体"/>
                <w:b/>
                <w:bCs/>
                <w:sz w:val="24"/>
              </w:rPr>
            </w:pPr>
            <w:r>
              <w:rPr>
                <w:rFonts w:hint="eastAsia" w:ascii="宋体" w:hAnsi="宋体" w:cs="宋体"/>
                <w:b/>
                <w:bCs/>
                <w:sz w:val="24"/>
              </w:rPr>
              <w:t>序号</w:t>
            </w:r>
          </w:p>
        </w:tc>
        <w:tc>
          <w:tcPr>
            <w:tcW w:w="3683" w:type="dxa"/>
          </w:tcPr>
          <w:p>
            <w:pPr>
              <w:jc w:val="center"/>
              <w:rPr>
                <w:rFonts w:ascii="宋体" w:hAnsi="宋体" w:cs="宋体"/>
                <w:b/>
                <w:bCs/>
                <w:sz w:val="24"/>
              </w:rPr>
            </w:pPr>
            <w:r>
              <w:rPr>
                <w:rFonts w:hint="eastAsia" w:ascii="宋体" w:hAnsi="宋体" w:cs="宋体"/>
                <w:b/>
                <w:bCs/>
                <w:sz w:val="24"/>
              </w:rPr>
              <w:t>招标文件章节及具体内容</w:t>
            </w:r>
          </w:p>
        </w:tc>
        <w:tc>
          <w:tcPr>
            <w:tcW w:w="3546" w:type="dxa"/>
          </w:tcPr>
          <w:p>
            <w:pPr>
              <w:jc w:val="center"/>
              <w:rPr>
                <w:rFonts w:ascii="宋体" w:hAnsi="宋体" w:cs="宋体"/>
                <w:b/>
                <w:bCs/>
                <w:sz w:val="24"/>
              </w:rPr>
            </w:pPr>
            <w:r>
              <w:rPr>
                <w:rFonts w:hint="eastAsia" w:ascii="宋体" w:hAnsi="宋体" w:cs="宋体"/>
                <w:b/>
                <w:bCs/>
                <w:sz w:val="24"/>
              </w:rPr>
              <w:t>投标文件章节及具体内容</w:t>
            </w:r>
          </w:p>
        </w:tc>
        <w:tc>
          <w:tcPr>
            <w:tcW w:w="1276" w:type="dxa"/>
          </w:tcPr>
          <w:p>
            <w:pPr>
              <w:jc w:val="center"/>
              <w:rPr>
                <w:rFonts w:ascii="宋体" w:hAnsi="宋体" w:cs="宋体"/>
                <w:b/>
                <w:bCs/>
                <w:sz w:val="24"/>
              </w:rPr>
            </w:pPr>
            <w:r>
              <w:rPr>
                <w:rFonts w:hint="eastAsia" w:ascii="宋体" w:hAnsi="宋体" w:cs="宋体"/>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ascii="宋体" w:hAnsi="宋体" w:cs="宋体"/>
                <w:kern w:val="0"/>
                <w:sz w:val="24"/>
              </w:rPr>
            </w:pPr>
            <w:r>
              <w:rPr>
                <w:rFonts w:hint="eastAsia" w:ascii="宋体" w:hAnsi="宋体" w:cs="宋体"/>
                <w:kern w:val="0"/>
                <w:sz w:val="24"/>
              </w:rPr>
              <w:t>1</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ascii="宋体" w:hAnsi="宋体" w:cs="宋体"/>
                <w:kern w:val="0"/>
                <w:sz w:val="24"/>
              </w:rPr>
            </w:pPr>
            <w:r>
              <w:rPr>
                <w:rFonts w:hint="eastAsia" w:ascii="宋体" w:hAnsi="宋体" w:cs="宋体"/>
                <w:kern w:val="0"/>
                <w:sz w:val="24"/>
              </w:rPr>
              <w:t>2</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ascii="宋体" w:hAnsi="宋体" w:cs="宋体"/>
                <w:kern w:val="0"/>
                <w:sz w:val="24"/>
              </w:rPr>
            </w:pPr>
            <w:r>
              <w:rPr>
                <w:rFonts w:hint="eastAsia" w:ascii="宋体" w:hAnsi="宋体" w:cs="宋体"/>
                <w:kern w:val="0"/>
                <w:sz w:val="24"/>
              </w:rPr>
              <w:t>……</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bl>
    <w:p>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pPr>
        <w:jc w:val="center"/>
        <w:rPr>
          <w:rFonts w:ascii="宋体" w:hAnsi="宋体" w:cs="宋体"/>
          <w:b/>
          <w:kern w:val="0"/>
          <w:sz w:val="32"/>
          <w:szCs w:val="32"/>
        </w:rPr>
      </w:pPr>
    </w:p>
    <w:p>
      <w:pPr>
        <w:spacing w:line="360" w:lineRule="auto"/>
        <w:ind w:right="420"/>
        <w:rPr>
          <w:rFonts w:ascii="宋体" w:hAnsi="宋体" w:cs="宋体"/>
          <w:sz w:val="24"/>
        </w:rPr>
      </w:pPr>
      <w:r>
        <w:rPr>
          <w:rFonts w:hint="eastAsia" w:ascii="宋体" w:hAnsi="宋体" w:cs="宋体"/>
          <w:sz w:val="24"/>
        </w:rPr>
        <w:t>注：按本格式和要求提供。</w:t>
      </w:r>
    </w:p>
    <w:p>
      <w:pPr>
        <w:ind w:firstLine="1911" w:firstLineChars="595"/>
        <w:rPr>
          <w:rFonts w:ascii="宋体" w:hAnsi="宋体" w:cs="宋体"/>
          <w:b/>
          <w:bCs/>
          <w:sz w:val="32"/>
          <w:szCs w:val="32"/>
        </w:rPr>
      </w:pPr>
    </w:p>
    <w:p>
      <w:pPr>
        <w:ind w:firstLine="1911" w:firstLineChars="595"/>
        <w:rPr>
          <w:rFonts w:ascii="宋体" w:hAnsi="宋体" w:cs="宋体"/>
          <w:b/>
          <w:bCs/>
          <w:sz w:val="32"/>
          <w:szCs w:val="32"/>
        </w:rPr>
      </w:pPr>
    </w:p>
    <w:p>
      <w:pPr>
        <w:ind w:firstLine="1911" w:firstLineChars="595"/>
        <w:rPr>
          <w:rFonts w:ascii="宋体" w:hAnsi="宋体" w:cs="宋体"/>
          <w:b/>
          <w:bCs/>
          <w:sz w:val="32"/>
          <w:szCs w:val="32"/>
        </w:rPr>
      </w:pPr>
    </w:p>
    <w:p>
      <w:pPr>
        <w:ind w:firstLine="1911" w:firstLineChars="595"/>
        <w:rPr>
          <w:rFonts w:ascii="宋体" w:hAnsi="宋体" w:cs="宋体"/>
          <w:b/>
          <w:bCs/>
          <w:sz w:val="32"/>
          <w:szCs w:val="32"/>
        </w:rPr>
      </w:pPr>
    </w:p>
    <w:p>
      <w:pPr>
        <w:ind w:firstLine="1911" w:firstLineChars="595"/>
        <w:rPr>
          <w:rFonts w:ascii="宋体" w:hAnsi="宋体" w:cs="宋体"/>
          <w:b/>
          <w:bCs/>
          <w:sz w:val="32"/>
          <w:szCs w:val="32"/>
        </w:rPr>
      </w:pPr>
    </w:p>
    <w:p>
      <w:pPr>
        <w:widowControl/>
        <w:adjustRightInd/>
        <w:jc w:val="left"/>
        <w:rPr>
          <w:rFonts w:ascii="宋体" w:hAnsi="宋体" w:cs="宋体"/>
          <w:b/>
          <w:bCs/>
          <w:sz w:val="32"/>
          <w:szCs w:val="32"/>
        </w:rPr>
      </w:pPr>
      <w:r>
        <w:rPr>
          <w:rFonts w:ascii="宋体" w:hAnsi="宋体" w:cs="宋体"/>
          <w:b/>
          <w:bCs/>
          <w:sz w:val="32"/>
          <w:szCs w:val="32"/>
        </w:rPr>
        <w:br w:type="page"/>
      </w:r>
    </w:p>
    <w:p>
      <w:pPr>
        <w:ind w:firstLine="1911" w:firstLineChars="595"/>
        <w:rPr>
          <w:rFonts w:ascii="宋体" w:hAnsi="宋体" w:cs="宋体"/>
          <w:b/>
          <w:kern w:val="0"/>
          <w:sz w:val="32"/>
          <w:szCs w:val="32"/>
        </w:rPr>
      </w:pPr>
      <w:r>
        <w:rPr>
          <w:rFonts w:hint="eastAsia" w:ascii="宋体" w:hAnsi="宋体" w:cs="宋体"/>
          <w:b/>
          <w:kern w:val="0"/>
          <w:sz w:val="32"/>
          <w:szCs w:val="32"/>
        </w:rPr>
        <w:t>七、</w:t>
      </w:r>
      <w:r>
        <w:rPr>
          <w:rFonts w:hint="eastAsia" w:ascii="宋体" w:hAnsi="宋体" w:cs="宋体"/>
          <w:b/>
          <w:kern w:val="0"/>
          <w:sz w:val="32"/>
          <w:szCs w:val="32"/>
          <w:lang w:val="zh-CN"/>
        </w:rPr>
        <w:t>政府采购供应商廉洁自律承诺书</w:t>
      </w:r>
    </w:p>
    <w:p>
      <w:pPr>
        <w:snapToGrid w:val="0"/>
        <w:spacing w:line="360" w:lineRule="auto"/>
        <w:rPr>
          <w:rFonts w:ascii="宋体" w:hAnsi="宋体" w:cs="宋体"/>
          <w:sz w:val="24"/>
        </w:rPr>
      </w:pP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spacing w:line="360" w:lineRule="auto"/>
        <w:jc w:val="center"/>
        <w:rPr>
          <w:rFonts w:ascii="宋体" w:hAnsi="宋体" w:cs="宋体"/>
          <w:b/>
          <w:bCs/>
          <w:sz w:val="24"/>
        </w:rPr>
        <w:sectPr>
          <w:headerReference r:id="rId9" w:type="first"/>
          <w:footerReference r:id="rId11" w:type="first"/>
          <w:headerReference r:id="rId8" w:type="default"/>
          <w:footerReference r:id="rId10" w:type="default"/>
          <w:pgSz w:w="11905" w:h="16838"/>
          <w:pgMar w:top="1474" w:right="1814" w:bottom="1474" w:left="1814" w:header="851" w:footer="850" w:gutter="0"/>
          <w:cols w:space="0" w:num="1"/>
          <w:docGrid w:linePitch="312" w:charSpace="0"/>
        </w:sectPr>
      </w:pPr>
    </w:p>
    <w:p>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pPr>
        <w:spacing w:line="360" w:lineRule="auto"/>
        <w:jc w:val="center"/>
        <w:outlineLvl w:val="0"/>
        <w:rPr>
          <w:rFonts w:ascii="宋体" w:hAnsi="宋体" w:cs="宋体"/>
          <w:b/>
          <w:kern w:val="0"/>
          <w:sz w:val="36"/>
          <w:szCs w:val="36"/>
        </w:rPr>
      </w:pPr>
    </w:p>
    <w:p>
      <w:pPr>
        <w:snapToGrid w:val="0"/>
        <w:spacing w:line="360" w:lineRule="auto"/>
        <w:rPr>
          <w:rFonts w:ascii="宋体" w:hAnsi="宋体" w:cs="宋体"/>
          <w:sz w:val="24"/>
        </w:rPr>
      </w:pPr>
      <w:r>
        <w:rPr>
          <w:rFonts w:hint="eastAsia" w:ascii="宋体" w:hAnsi="宋体" w:cs="宋体"/>
          <w:sz w:val="24"/>
        </w:rPr>
        <w:t>（1）开标一览表（报价表）………………………………………………（页码）</w:t>
      </w:r>
    </w:p>
    <w:p>
      <w:pPr>
        <w:snapToGrid w:val="0"/>
        <w:spacing w:line="360" w:lineRule="auto"/>
        <w:rPr>
          <w:rFonts w:ascii="宋体" w:hAnsi="宋体" w:cs="宋体"/>
          <w:sz w:val="24"/>
        </w:rPr>
      </w:pPr>
      <w:r>
        <w:rPr>
          <w:rFonts w:hint="eastAsia" w:ascii="宋体" w:hAnsi="宋体" w:cs="宋体"/>
          <w:sz w:val="24"/>
        </w:rPr>
        <w:t>（2）小</w:t>
      </w:r>
      <w:r>
        <w:rPr>
          <w:rFonts w:hint="eastAsia" w:ascii="宋体" w:hAnsi="宋体" w:cs="宋体"/>
          <w:sz w:val="24"/>
          <w:lang w:eastAsia="zh-CN"/>
        </w:rPr>
        <w:t>微</w:t>
      </w:r>
      <w:r>
        <w:rPr>
          <w:rFonts w:hint="eastAsia" w:ascii="宋体" w:hAnsi="宋体" w:cs="宋体"/>
          <w:sz w:val="24"/>
        </w:rPr>
        <w:t>企业声明函（如有）………………………………………………（页码）</w:t>
      </w: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pStyle w:val="692"/>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13" w:type="first"/>
          <w:footerReference r:id="rId15" w:type="first"/>
          <w:headerReference r:id="rId12" w:type="default"/>
          <w:footerReference r:id="rId14" w:type="default"/>
          <w:pgSz w:w="11905" w:h="16838"/>
          <w:pgMar w:top="1474" w:right="1814" w:bottom="1474" w:left="1814" w:header="851" w:footer="850" w:gutter="0"/>
          <w:cols w:space="0" w:num="1"/>
          <w:docGrid w:linePitch="312" w:charSpace="0"/>
        </w:sectPr>
      </w:pPr>
    </w:p>
    <w:p>
      <w:pPr>
        <w:pStyle w:val="692"/>
        <w:keepNext w:val="0"/>
        <w:pageBreakBefore w:val="0"/>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一、开标一览表（报价表）</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pPr>
              <w:spacing w:line="360" w:lineRule="auto"/>
              <w:jc w:val="center"/>
              <w:rPr>
                <w:rFonts w:ascii="宋体" w:hAnsi="宋体" w:cs="宋体"/>
                <w:b/>
                <w:sz w:val="24"/>
              </w:rPr>
            </w:pPr>
            <w:r>
              <w:rPr>
                <w:rFonts w:hint="eastAsia" w:ascii="宋体" w:hAnsi="宋体" w:cs="宋体"/>
                <w:b/>
                <w:sz w:val="24"/>
              </w:rPr>
              <w:t>序号</w:t>
            </w:r>
          </w:p>
        </w:tc>
        <w:tc>
          <w:tcPr>
            <w:tcW w:w="1417" w:type="dxa"/>
            <w:vAlign w:val="center"/>
          </w:tcPr>
          <w:p>
            <w:pPr>
              <w:spacing w:line="360" w:lineRule="auto"/>
              <w:jc w:val="center"/>
              <w:rPr>
                <w:rFonts w:ascii="宋体" w:hAnsi="宋体" w:cs="宋体"/>
                <w:b/>
                <w:sz w:val="24"/>
              </w:rPr>
            </w:pPr>
            <w:r>
              <w:rPr>
                <w:rFonts w:hint="eastAsia" w:ascii="宋体" w:hAnsi="宋体" w:cs="宋体"/>
                <w:b/>
                <w:sz w:val="24"/>
              </w:rPr>
              <w:t>名称</w:t>
            </w:r>
          </w:p>
        </w:tc>
        <w:tc>
          <w:tcPr>
            <w:tcW w:w="1843" w:type="dxa"/>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品牌（如果有）</w:t>
            </w:r>
          </w:p>
        </w:tc>
        <w:tc>
          <w:tcPr>
            <w:tcW w:w="3118" w:type="dxa"/>
            <w:vAlign w:val="center"/>
          </w:tcPr>
          <w:p>
            <w:pPr>
              <w:spacing w:line="360" w:lineRule="auto"/>
              <w:jc w:val="center"/>
              <w:rPr>
                <w:rFonts w:ascii="宋体" w:hAnsi="宋体" w:cs="宋体"/>
                <w:b/>
                <w:sz w:val="24"/>
              </w:rPr>
            </w:pPr>
            <w:r>
              <w:rPr>
                <w:rFonts w:hint="eastAsia" w:ascii="宋体" w:hAnsi="宋体" w:cs="宋体"/>
                <w:b/>
                <w:sz w:val="24"/>
              </w:rPr>
              <w:t>规格型号</w:t>
            </w:r>
          </w:p>
        </w:tc>
        <w:tc>
          <w:tcPr>
            <w:tcW w:w="993" w:type="dxa"/>
            <w:vAlign w:val="center"/>
          </w:tcPr>
          <w:p>
            <w:pPr>
              <w:spacing w:line="360" w:lineRule="auto"/>
              <w:jc w:val="center"/>
              <w:rPr>
                <w:rFonts w:ascii="宋体" w:hAnsi="宋体" w:cs="宋体"/>
                <w:b/>
                <w:sz w:val="24"/>
              </w:rPr>
            </w:pPr>
            <w:r>
              <w:rPr>
                <w:rFonts w:hint="eastAsia" w:ascii="宋体" w:hAnsi="宋体" w:cs="宋体"/>
                <w:b/>
                <w:sz w:val="24"/>
              </w:rPr>
              <w:t>数量</w:t>
            </w:r>
          </w:p>
        </w:tc>
        <w:tc>
          <w:tcPr>
            <w:tcW w:w="1559" w:type="dxa"/>
            <w:vAlign w:val="center"/>
          </w:tcPr>
          <w:p>
            <w:pPr>
              <w:spacing w:line="360" w:lineRule="auto"/>
              <w:jc w:val="center"/>
              <w:rPr>
                <w:rFonts w:ascii="宋体" w:hAnsi="宋体" w:cs="宋体"/>
                <w:b/>
                <w:sz w:val="24"/>
              </w:rPr>
            </w:pPr>
            <w:r>
              <w:rPr>
                <w:rFonts w:hint="eastAsia" w:ascii="宋体" w:hAnsi="宋体" w:cs="宋体"/>
                <w:b/>
                <w:sz w:val="24"/>
              </w:rPr>
              <w:t>单价</w:t>
            </w:r>
          </w:p>
        </w:tc>
        <w:tc>
          <w:tcPr>
            <w:tcW w:w="1984" w:type="dxa"/>
            <w:vAlign w:val="center"/>
          </w:tcPr>
          <w:p>
            <w:pPr>
              <w:spacing w:line="360" w:lineRule="auto"/>
              <w:jc w:val="center"/>
              <w:rPr>
                <w:rFonts w:ascii="宋体" w:hAnsi="宋体" w:cs="宋体"/>
                <w:b/>
                <w:sz w:val="24"/>
              </w:rPr>
            </w:pPr>
            <w:r>
              <w:rPr>
                <w:rFonts w:hint="eastAsia" w:ascii="宋体" w:hAnsi="宋体" w:cs="宋体"/>
                <w:b/>
                <w:sz w:val="24"/>
              </w:rPr>
              <w:t>合计</w:t>
            </w:r>
          </w:p>
        </w:tc>
        <w:tc>
          <w:tcPr>
            <w:tcW w:w="3119" w:type="dxa"/>
            <w:vAlign w:val="center"/>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备注（如果有）</w:t>
            </w:r>
          </w:p>
          <w:p>
            <w:pPr>
              <w:spacing w:line="360" w:lineRule="auto"/>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pPr>
              <w:spacing w:line="360" w:lineRule="auto"/>
              <w:jc w:val="center"/>
              <w:rPr>
                <w:rFonts w:ascii="宋体" w:hAnsi="宋体" w:cs="宋体"/>
                <w:sz w:val="24"/>
              </w:rPr>
            </w:pPr>
            <w:r>
              <w:rPr>
                <w:rFonts w:hint="eastAsia" w:ascii="宋体" w:hAnsi="宋体" w:cs="宋体"/>
                <w:sz w:val="24"/>
              </w:rPr>
              <w:t>1</w:t>
            </w:r>
          </w:p>
        </w:tc>
        <w:tc>
          <w:tcPr>
            <w:tcW w:w="1417" w:type="dxa"/>
            <w:vAlign w:val="center"/>
          </w:tcPr>
          <w:p>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pPr>
              <w:snapToGrid w:val="0"/>
              <w:spacing w:line="360" w:lineRule="auto"/>
              <w:jc w:val="center"/>
              <w:rPr>
                <w:rFonts w:ascii="宋体" w:hAnsi="宋体" w:cs="宋体"/>
                <w:sz w:val="24"/>
              </w:rPr>
            </w:pPr>
          </w:p>
        </w:tc>
        <w:tc>
          <w:tcPr>
            <w:tcW w:w="3118" w:type="dxa"/>
            <w:vAlign w:val="center"/>
          </w:tcPr>
          <w:p>
            <w:pPr>
              <w:snapToGrid w:val="0"/>
              <w:spacing w:line="360" w:lineRule="auto"/>
              <w:jc w:val="center"/>
              <w:rPr>
                <w:rFonts w:ascii="宋体" w:hAnsi="宋体" w:cs="宋体"/>
                <w:sz w:val="24"/>
              </w:rPr>
            </w:pPr>
          </w:p>
        </w:tc>
        <w:tc>
          <w:tcPr>
            <w:tcW w:w="993" w:type="dxa"/>
            <w:vAlign w:val="center"/>
          </w:tcPr>
          <w:p>
            <w:pPr>
              <w:snapToGrid w:val="0"/>
              <w:spacing w:line="360" w:lineRule="auto"/>
              <w:jc w:val="center"/>
              <w:rPr>
                <w:rFonts w:ascii="宋体" w:hAnsi="宋体" w:cs="宋体"/>
                <w:sz w:val="24"/>
              </w:rPr>
            </w:pPr>
          </w:p>
        </w:tc>
        <w:tc>
          <w:tcPr>
            <w:tcW w:w="1559" w:type="dxa"/>
            <w:vAlign w:val="center"/>
          </w:tcPr>
          <w:p>
            <w:pPr>
              <w:spacing w:line="360" w:lineRule="auto"/>
              <w:jc w:val="center"/>
              <w:rPr>
                <w:rFonts w:ascii="宋体" w:hAnsi="宋体" w:cs="宋体"/>
                <w:sz w:val="24"/>
              </w:rPr>
            </w:pPr>
          </w:p>
        </w:tc>
        <w:tc>
          <w:tcPr>
            <w:tcW w:w="1984" w:type="dxa"/>
            <w:vAlign w:val="center"/>
          </w:tcPr>
          <w:p>
            <w:pPr>
              <w:spacing w:line="360" w:lineRule="auto"/>
              <w:jc w:val="center"/>
              <w:rPr>
                <w:rFonts w:ascii="宋体" w:hAnsi="宋体" w:cs="宋体"/>
                <w:sz w:val="24"/>
              </w:rPr>
            </w:pPr>
          </w:p>
        </w:tc>
        <w:tc>
          <w:tcPr>
            <w:tcW w:w="3119"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sz w:val="24"/>
              </w:rPr>
            </w:pPr>
            <w:r>
              <w:rPr>
                <w:rFonts w:hint="eastAsia" w:ascii="宋体" w:hAnsi="宋体" w:cs="宋体"/>
                <w:sz w:val="24"/>
              </w:rPr>
              <w:t>2</w:t>
            </w:r>
          </w:p>
        </w:tc>
        <w:tc>
          <w:tcPr>
            <w:tcW w:w="1417" w:type="dxa"/>
            <w:vAlign w:val="center"/>
          </w:tcPr>
          <w:p>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pPr>
              <w:snapToGrid w:val="0"/>
              <w:spacing w:line="360" w:lineRule="auto"/>
              <w:jc w:val="center"/>
              <w:rPr>
                <w:rFonts w:ascii="宋体" w:hAnsi="宋体" w:cs="宋体"/>
                <w:sz w:val="24"/>
              </w:rPr>
            </w:pPr>
          </w:p>
        </w:tc>
        <w:tc>
          <w:tcPr>
            <w:tcW w:w="3118" w:type="dxa"/>
            <w:vAlign w:val="center"/>
          </w:tcPr>
          <w:p>
            <w:pPr>
              <w:snapToGrid w:val="0"/>
              <w:spacing w:line="360" w:lineRule="auto"/>
              <w:jc w:val="center"/>
              <w:rPr>
                <w:rFonts w:ascii="宋体" w:hAnsi="宋体" w:cs="宋体"/>
                <w:sz w:val="24"/>
              </w:rPr>
            </w:pPr>
          </w:p>
        </w:tc>
        <w:tc>
          <w:tcPr>
            <w:tcW w:w="993" w:type="dxa"/>
            <w:vAlign w:val="center"/>
          </w:tcPr>
          <w:p>
            <w:pPr>
              <w:snapToGrid w:val="0"/>
              <w:spacing w:line="360" w:lineRule="auto"/>
              <w:jc w:val="center"/>
              <w:rPr>
                <w:rFonts w:ascii="宋体" w:hAnsi="宋体" w:cs="宋体"/>
                <w:sz w:val="24"/>
              </w:rPr>
            </w:pPr>
          </w:p>
        </w:tc>
        <w:tc>
          <w:tcPr>
            <w:tcW w:w="1559" w:type="dxa"/>
            <w:vAlign w:val="center"/>
          </w:tcPr>
          <w:p>
            <w:pPr>
              <w:spacing w:line="360" w:lineRule="auto"/>
              <w:jc w:val="center"/>
              <w:rPr>
                <w:rFonts w:ascii="宋体" w:hAnsi="宋体" w:cs="宋体"/>
                <w:sz w:val="24"/>
              </w:rPr>
            </w:pPr>
          </w:p>
        </w:tc>
        <w:tc>
          <w:tcPr>
            <w:tcW w:w="1984" w:type="dxa"/>
            <w:vAlign w:val="center"/>
          </w:tcPr>
          <w:p>
            <w:pPr>
              <w:spacing w:line="360" w:lineRule="auto"/>
              <w:jc w:val="center"/>
              <w:rPr>
                <w:rFonts w:ascii="宋体" w:hAnsi="宋体" w:cs="宋体"/>
                <w:sz w:val="24"/>
              </w:rPr>
            </w:pPr>
          </w:p>
        </w:tc>
        <w:tc>
          <w:tcPr>
            <w:tcW w:w="3119"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sz w:val="24"/>
              </w:rPr>
            </w:pPr>
            <w:r>
              <w:rPr>
                <w:rFonts w:hint="eastAsia" w:ascii="宋体" w:hAnsi="宋体" w:cs="宋体"/>
                <w:sz w:val="24"/>
              </w:rPr>
              <w:t>…</w:t>
            </w:r>
          </w:p>
        </w:tc>
        <w:tc>
          <w:tcPr>
            <w:tcW w:w="1417" w:type="dxa"/>
            <w:vAlign w:val="center"/>
          </w:tcPr>
          <w:p>
            <w:pPr>
              <w:snapToGrid w:val="0"/>
              <w:spacing w:line="360" w:lineRule="auto"/>
              <w:jc w:val="center"/>
              <w:rPr>
                <w:rFonts w:ascii="宋体" w:hAnsi="宋体" w:cs="宋体"/>
                <w:sz w:val="24"/>
              </w:rPr>
            </w:pPr>
          </w:p>
        </w:tc>
        <w:tc>
          <w:tcPr>
            <w:tcW w:w="1843" w:type="dxa"/>
            <w:vAlign w:val="center"/>
          </w:tcPr>
          <w:p>
            <w:pPr>
              <w:snapToGrid w:val="0"/>
              <w:spacing w:line="360" w:lineRule="auto"/>
              <w:jc w:val="center"/>
              <w:rPr>
                <w:rFonts w:ascii="宋体" w:hAnsi="宋体" w:cs="宋体"/>
                <w:sz w:val="24"/>
              </w:rPr>
            </w:pPr>
          </w:p>
        </w:tc>
        <w:tc>
          <w:tcPr>
            <w:tcW w:w="3118" w:type="dxa"/>
            <w:vAlign w:val="center"/>
          </w:tcPr>
          <w:p>
            <w:pPr>
              <w:snapToGrid w:val="0"/>
              <w:spacing w:line="360" w:lineRule="auto"/>
              <w:jc w:val="center"/>
              <w:rPr>
                <w:rFonts w:ascii="宋体" w:hAnsi="宋体" w:cs="宋体"/>
                <w:sz w:val="24"/>
              </w:rPr>
            </w:pPr>
          </w:p>
        </w:tc>
        <w:tc>
          <w:tcPr>
            <w:tcW w:w="993" w:type="dxa"/>
            <w:vAlign w:val="center"/>
          </w:tcPr>
          <w:p>
            <w:pPr>
              <w:snapToGrid w:val="0"/>
              <w:spacing w:line="360" w:lineRule="auto"/>
              <w:jc w:val="center"/>
              <w:rPr>
                <w:rFonts w:ascii="宋体" w:hAnsi="宋体" w:cs="宋体"/>
                <w:sz w:val="24"/>
              </w:rPr>
            </w:pPr>
          </w:p>
        </w:tc>
        <w:tc>
          <w:tcPr>
            <w:tcW w:w="1559" w:type="dxa"/>
            <w:vAlign w:val="center"/>
          </w:tcPr>
          <w:p>
            <w:pPr>
              <w:spacing w:line="360" w:lineRule="auto"/>
              <w:jc w:val="center"/>
              <w:rPr>
                <w:rFonts w:ascii="宋体" w:hAnsi="宋体" w:cs="宋体"/>
                <w:sz w:val="24"/>
              </w:rPr>
            </w:pPr>
          </w:p>
        </w:tc>
        <w:tc>
          <w:tcPr>
            <w:tcW w:w="1984" w:type="dxa"/>
            <w:vAlign w:val="center"/>
          </w:tcPr>
          <w:p>
            <w:pPr>
              <w:spacing w:line="360" w:lineRule="auto"/>
              <w:jc w:val="center"/>
              <w:rPr>
                <w:rFonts w:ascii="宋体" w:hAnsi="宋体" w:cs="宋体"/>
                <w:sz w:val="24"/>
              </w:rPr>
            </w:pPr>
          </w:p>
        </w:tc>
        <w:tc>
          <w:tcPr>
            <w:tcW w:w="3119"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sz w:val="24"/>
              </w:rPr>
            </w:pPr>
          </w:p>
        </w:tc>
        <w:tc>
          <w:tcPr>
            <w:tcW w:w="1417" w:type="dxa"/>
            <w:vAlign w:val="center"/>
          </w:tcPr>
          <w:p>
            <w:pPr>
              <w:snapToGrid w:val="0"/>
              <w:spacing w:line="360" w:lineRule="auto"/>
              <w:jc w:val="center"/>
              <w:rPr>
                <w:rFonts w:ascii="宋体" w:hAnsi="宋体" w:cs="宋体"/>
                <w:sz w:val="24"/>
              </w:rPr>
            </w:pPr>
          </w:p>
        </w:tc>
        <w:tc>
          <w:tcPr>
            <w:tcW w:w="1843" w:type="dxa"/>
            <w:vAlign w:val="center"/>
          </w:tcPr>
          <w:p>
            <w:pPr>
              <w:snapToGrid w:val="0"/>
              <w:spacing w:line="360" w:lineRule="auto"/>
              <w:jc w:val="center"/>
              <w:rPr>
                <w:rFonts w:ascii="宋体" w:hAnsi="宋体" w:cs="宋体"/>
                <w:sz w:val="24"/>
              </w:rPr>
            </w:pPr>
          </w:p>
        </w:tc>
        <w:tc>
          <w:tcPr>
            <w:tcW w:w="3118" w:type="dxa"/>
            <w:vAlign w:val="center"/>
          </w:tcPr>
          <w:p>
            <w:pPr>
              <w:snapToGrid w:val="0"/>
              <w:spacing w:line="360" w:lineRule="auto"/>
              <w:jc w:val="center"/>
              <w:rPr>
                <w:rFonts w:ascii="宋体" w:hAnsi="宋体" w:cs="宋体"/>
                <w:sz w:val="24"/>
              </w:rPr>
            </w:pPr>
          </w:p>
        </w:tc>
        <w:tc>
          <w:tcPr>
            <w:tcW w:w="993" w:type="dxa"/>
            <w:vAlign w:val="center"/>
          </w:tcPr>
          <w:p>
            <w:pPr>
              <w:snapToGrid w:val="0"/>
              <w:spacing w:line="360" w:lineRule="auto"/>
              <w:jc w:val="center"/>
              <w:rPr>
                <w:rFonts w:ascii="宋体" w:hAnsi="宋体" w:cs="宋体"/>
                <w:sz w:val="24"/>
              </w:rPr>
            </w:pPr>
          </w:p>
        </w:tc>
        <w:tc>
          <w:tcPr>
            <w:tcW w:w="1559" w:type="dxa"/>
            <w:vAlign w:val="center"/>
          </w:tcPr>
          <w:p>
            <w:pPr>
              <w:spacing w:line="360" w:lineRule="auto"/>
              <w:jc w:val="center"/>
              <w:rPr>
                <w:rFonts w:ascii="宋体" w:hAnsi="宋体" w:cs="宋体"/>
                <w:sz w:val="24"/>
              </w:rPr>
            </w:pPr>
          </w:p>
        </w:tc>
        <w:tc>
          <w:tcPr>
            <w:tcW w:w="1984" w:type="dxa"/>
            <w:vAlign w:val="center"/>
          </w:tcPr>
          <w:p>
            <w:pPr>
              <w:spacing w:line="360" w:lineRule="auto"/>
              <w:jc w:val="center"/>
              <w:rPr>
                <w:rFonts w:ascii="宋体" w:hAnsi="宋体" w:cs="宋体"/>
                <w:sz w:val="24"/>
              </w:rPr>
            </w:pPr>
          </w:p>
        </w:tc>
        <w:tc>
          <w:tcPr>
            <w:tcW w:w="3119"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sz w:val="24"/>
              </w:rPr>
            </w:pPr>
          </w:p>
        </w:tc>
        <w:tc>
          <w:tcPr>
            <w:tcW w:w="1417" w:type="dxa"/>
            <w:vAlign w:val="center"/>
          </w:tcPr>
          <w:p>
            <w:pPr>
              <w:snapToGrid w:val="0"/>
              <w:spacing w:line="360" w:lineRule="auto"/>
              <w:jc w:val="center"/>
              <w:rPr>
                <w:rFonts w:ascii="宋体" w:hAnsi="宋体" w:cs="宋体"/>
                <w:sz w:val="24"/>
              </w:rPr>
            </w:pPr>
          </w:p>
        </w:tc>
        <w:tc>
          <w:tcPr>
            <w:tcW w:w="1843" w:type="dxa"/>
            <w:vAlign w:val="center"/>
          </w:tcPr>
          <w:p>
            <w:pPr>
              <w:snapToGrid w:val="0"/>
              <w:spacing w:line="360" w:lineRule="auto"/>
              <w:jc w:val="center"/>
              <w:rPr>
                <w:rFonts w:ascii="宋体" w:hAnsi="宋体" w:cs="宋体"/>
                <w:sz w:val="24"/>
              </w:rPr>
            </w:pPr>
          </w:p>
        </w:tc>
        <w:tc>
          <w:tcPr>
            <w:tcW w:w="3118" w:type="dxa"/>
            <w:vAlign w:val="center"/>
          </w:tcPr>
          <w:p>
            <w:pPr>
              <w:snapToGrid w:val="0"/>
              <w:spacing w:line="360" w:lineRule="auto"/>
              <w:jc w:val="center"/>
              <w:rPr>
                <w:rFonts w:ascii="宋体" w:hAnsi="宋体" w:cs="宋体"/>
                <w:sz w:val="24"/>
              </w:rPr>
            </w:pPr>
          </w:p>
        </w:tc>
        <w:tc>
          <w:tcPr>
            <w:tcW w:w="993" w:type="dxa"/>
            <w:vAlign w:val="center"/>
          </w:tcPr>
          <w:p>
            <w:pPr>
              <w:snapToGrid w:val="0"/>
              <w:spacing w:line="360" w:lineRule="auto"/>
              <w:jc w:val="center"/>
              <w:rPr>
                <w:rFonts w:ascii="宋体" w:hAnsi="宋体" w:cs="宋体"/>
                <w:sz w:val="24"/>
              </w:rPr>
            </w:pPr>
          </w:p>
        </w:tc>
        <w:tc>
          <w:tcPr>
            <w:tcW w:w="1559" w:type="dxa"/>
            <w:vAlign w:val="center"/>
          </w:tcPr>
          <w:p>
            <w:pPr>
              <w:spacing w:line="360" w:lineRule="auto"/>
              <w:jc w:val="center"/>
              <w:rPr>
                <w:rFonts w:ascii="宋体" w:hAnsi="宋体" w:cs="宋体"/>
                <w:sz w:val="24"/>
              </w:rPr>
            </w:pPr>
          </w:p>
        </w:tc>
        <w:tc>
          <w:tcPr>
            <w:tcW w:w="1984" w:type="dxa"/>
            <w:vAlign w:val="center"/>
          </w:tcPr>
          <w:p>
            <w:pPr>
              <w:spacing w:line="360" w:lineRule="auto"/>
              <w:jc w:val="center"/>
              <w:rPr>
                <w:rFonts w:ascii="宋体" w:hAnsi="宋体" w:cs="宋体"/>
                <w:sz w:val="24"/>
              </w:rPr>
            </w:pPr>
          </w:p>
        </w:tc>
        <w:tc>
          <w:tcPr>
            <w:tcW w:w="3119"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pPr>
              <w:spacing w:line="360" w:lineRule="auto"/>
              <w:jc w:val="center"/>
              <w:rPr>
                <w:rFonts w:ascii="宋体" w:hAnsi="宋体" w:cs="宋体"/>
                <w:b/>
                <w:sz w:val="24"/>
              </w:rPr>
            </w:pPr>
            <w:r>
              <w:rPr>
                <w:rFonts w:hint="eastAsia" w:ascii="宋体" w:hAnsi="宋体" w:cs="宋体"/>
                <w:b/>
                <w:sz w:val="24"/>
              </w:rPr>
              <w:t>投标报价（小写）</w:t>
            </w:r>
          </w:p>
        </w:tc>
        <w:tc>
          <w:tcPr>
            <w:tcW w:w="7655" w:type="dxa"/>
            <w:gridSpan w:val="4"/>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pPr>
              <w:spacing w:line="360" w:lineRule="auto"/>
              <w:jc w:val="center"/>
              <w:rPr>
                <w:rFonts w:ascii="宋体" w:hAnsi="宋体" w:cs="宋体"/>
                <w:b/>
                <w:sz w:val="24"/>
              </w:rPr>
            </w:pPr>
            <w:r>
              <w:rPr>
                <w:rFonts w:hint="eastAsia" w:ascii="宋体" w:hAnsi="宋体" w:cs="宋体"/>
                <w:b/>
                <w:sz w:val="24"/>
              </w:rPr>
              <w:t>投标报价（大写）</w:t>
            </w:r>
          </w:p>
        </w:tc>
        <w:tc>
          <w:tcPr>
            <w:tcW w:w="7655" w:type="dxa"/>
            <w:gridSpan w:val="4"/>
            <w:vAlign w:val="center"/>
          </w:tcPr>
          <w:p>
            <w:pPr>
              <w:spacing w:line="360" w:lineRule="auto"/>
              <w:jc w:val="center"/>
              <w:rPr>
                <w:rFonts w:ascii="宋体" w:hAnsi="宋体" w:cs="宋体"/>
                <w:sz w:val="24"/>
              </w:rPr>
            </w:pPr>
          </w:p>
        </w:tc>
      </w:tr>
    </w:tbl>
    <w:p>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3、特别提示：采购代理机构将对项目名称和项目编号，中标供应商名称、地址和中标金额，主要中标标的名称、品牌（如果有）、规格型号、数量、单价等予以公示。</w:t>
      </w:r>
    </w:p>
    <w:p>
      <w:pPr>
        <w:snapToGrid w:val="0"/>
        <w:spacing w:line="360" w:lineRule="auto"/>
        <w:ind w:firstLine="480" w:firstLineChars="200"/>
        <w:jc w:val="left"/>
        <w:rPr>
          <w:rFonts w:ascii="宋体" w:hAnsi="宋体" w:cs="宋体"/>
          <w:kern w:val="0"/>
          <w:sz w:val="24"/>
          <w:lang w:val="zh-CN"/>
        </w:rPr>
      </w:pPr>
      <w:r>
        <w:rPr>
          <w:rFonts w:ascii="宋体" w:hAnsi="宋体" w:cs="宋体"/>
          <w:kern w:val="0"/>
          <w:sz w:val="24"/>
          <w:szCs w:val="22"/>
          <w:lang w:val="zh-CN"/>
        </w:rPr>
        <w:t>4</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pacing w:line="360" w:lineRule="auto"/>
        <w:ind w:firstLine="482" w:firstLineChars="200"/>
        <w:rPr>
          <w:rFonts w:ascii="宋体" w:hAnsi="宋体" w:cs="宋体"/>
          <w:b/>
          <w:kern w:val="0"/>
          <w:sz w:val="24"/>
        </w:rPr>
      </w:pPr>
    </w:p>
    <w:p>
      <w:pPr>
        <w:pStyle w:val="692"/>
        <w:keepNext w:val="0"/>
        <w:pageBreakBefore w:val="0"/>
        <w:tabs>
          <w:tab w:val="clear" w:pos="720"/>
        </w:tabs>
        <w:snapToGrid w:val="0"/>
        <w:spacing w:before="120" w:after="120"/>
        <w:ind w:firstLine="643"/>
        <w:outlineLvl w:val="9"/>
        <w:rPr>
          <w:rFonts w:ascii="宋体" w:hAnsi="宋体" w:eastAsia="宋体" w:cs="宋体"/>
          <w:kern w:val="2"/>
          <w:sz w:val="32"/>
          <w:szCs w:val="32"/>
        </w:rPr>
      </w:pPr>
    </w:p>
    <w:p>
      <w:pPr>
        <w:pStyle w:val="692"/>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5" w:orient="landscape"/>
          <w:pgMar w:top="1814" w:right="1474" w:bottom="1814" w:left="1474" w:header="851" w:footer="850" w:gutter="0"/>
          <w:cols w:space="0" w:num="1"/>
          <w:docGrid w:linePitch="312" w:charSpace="0"/>
        </w:sectPr>
      </w:pPr>
    </w:p>
    <w:p>
      <w:pPr>
        <w:pStyle w:val="692"/>
        <w:keepNext w:val="0"/>
        <w:pageBreakBefore w:val="0"/>
        <w:tabs>
          <w:tab w:val="clear" w:pos="720"/>
        </w:tabs>
        <w:snapToGrid w:val="0"/>
        <w:spacing w:before="120" w:after="120"/>
        <w:ind w:firstLine="2907" w:firstLineChars="905"/>
        <w:jc w:val="both"/>
        <w:outlineLvl w:val="9"/>
        <w:rPr>
          <w:rFonts w:ascii="宋体" w:hAnsi="宋体" w:eastAsia="宋体" w:cs="宋体"/>
          <w:sz w:val="32"/>
          <w:szCs w:val="32"/>
        </w:rPr>
      </w:pPr>
      <w:r>
        <w:rPr>
          <w:rFonts w:hint="eastAsia" w:ascii="宋体" w:hAnsi="宋体" w:eastAsia="宋体" w:cs="宋体"/>
          <w:kern w:val="2"/>
          <w:sz w:val="32"/>
          <w:szCs w:val="32"/>
        </w:rPr>
        <w:t>二、</w:t>
      </w:r>
      <w:r>
        <w:rPr>
          <w:rFonts w:hint="eastAsia" w:ascii="宋体" w:hAnsi="宋体" w:eastAsia="宋体" w:cs="宋体"/>
          <w:sz w:val="32"/>
          <w:szCs w:val="32"/>
        </w:rPr>
        <w:t>小</w:t>
      </w:r>
      <w:r>
        <w:rPr>
          <w:rFonts w:hint="eastAsia" w:ascii="宋体" w:hAnsi="宋体" w:eastAsia="宋体" w:cs="宋体"/>
          <w:sz w:val="32"/>
          <w:szCs w:val="32"/>
          <w:lang w:eastAsia="zh-CN"/>
        </w:rPr>
        <w:t>微</w:t>
      </w:r>
      <w:r>
        <w:rPr>
          <w:rFonts w:hint="eastAsia" w:ascii="宋体" w:hAnsi="宋体" w:eastAsia="宋体" w:cs="宋体"/>
          <w:sz w:val="32"/>
          <w:szCs w:val="32"/>
        </w:rPr>
        <w:t>企业声明函</w:t>
      </w:r>
    </w:p>
    <w:p>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[招标公告落实政府采购政策需满足的资格要求为“无”即本项目或标项未预留份额专门面向中小企业时，符合《政府采购促进中小企业发展管理办法》规定的小微企业拟享受价格扣除政策的，需提供小</w:t>
      </w:r>
      <w:r>
        <w:rPr>
          <w:rFonts w:hint="eastAsia" w:ascii="宋体" w:hAnsi="宋体" w:cs="宋体"/>
          <w:b/>
          <w:sz w:val="24"/>
          <w:lang w:eastAsia="zh-CN"/>
        </w:rPr>
        <w:t>微</w:t>
      </w:r>
      <w:r>
        <w:rPr>
          <w:rFonts w:hint="eastAsia" w:ascii="宋体" w:hAnsi="宋体" w:cs="宋体"/>
          <w:b/>
          <w:sz w:val="24"/>
        </w:rPr>
        <w:t>企业声明函（附件2）。]</w:t>
      </w:r>
    </w:p>
    <w:p>
      <w:pPr>
        <w:pStyle w:val="692"/>
        <w:keepNext w:val="0"/>
        <w:pageBreakBefore w:val="0"/>
        <w:tabs>
          <w:tab w:val="clear" w:pos="720"/>
        </w:tabs>
        <w:snapToGrid w:val="0"/>
        <w:spacing w:before="120" w:after="120"/>
        <w:ind w:firstLine="643"/>
        <w:outlineLvl w:val="9"/>
        <w:rPr>
          <w:rFonts w:ascii="宋体" w:hAnsi="宋体" w:eastAsia="宋体" w:cs="宋体"/>
          <w:b w:val="0"/>
          <w:sz w:val="32"/>
          <w:szCs w:val="32"/>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rPr>
          <w:rFonts w:ascii="宋体" w:hAnsi="宋体" w:cs="宋体"/>
          <w:b/>
          <w:kern w:val="0"/>
          <w:sz w:val="36"/>
          <w:szCs w:val="36"/>
        </w:rPr>
      </w:pPr>
    </w:p>
    <w:p>
      <w:pPr>
        <w:spacing w:line="360" w:lineRule="auto"/>
        <w:rPr>
          <w:rFonts w:ascii="宋体" w:hAnsi="宋体" w:cs="宋体"/>
          <w:b/>
          <w:spacing w:val="6"/>
          <w:sz w:val="32"/>
          <w:szCs w:val="32"/>
        </w:rPr>
      </w:pPr>
      <w:r>
        <w:rPr>
          <w:rFonts w:hint="eastAsia" w:ascii="宋体" w:hAnsi="宋体" w:cs="宋体"/>
          <w:b/>
          <w:spacing w:val="6"/>
          <w:sz w:val="32"/>
          <w:szCs w:val="32"/>
        </w:rPr>
        <w:t>附件1：</w:t>
      </w:r>
    </w:p>
    <w:p>
      <w:pPr>
        <w:spacing w:line="360" w:lineRule="auto"/>
        <w:jc w:val="center"/>
        <w:rPr>
          <w:rFonts w:ascii="宋体" w:hAnsi="宋体" w:cs="宋体"/>
          <w:b/>
          <w:spacing w:val="6"/>
          <w:sz w:val="32"/>
          <w:szCs w:val="32"/>
        </w:rPr>
      </w:pPr>
      <w:bookmarkStart w:id="547" w:name="OLE_LINK14"/>
      <w:bookmarkStart w:id="548" w:name="OLE_LINK13"/>
      <w:r>
        <w:rPr>
          <w:rFonts w:hint="eastAsia" w:ascii="宋体" w:hAnsi="宋体" w:cs="宋体"/>
          <w:b/>
          <w:spacing w:val="6"/>
          <w:sz w:val="32"/>
          <w:szCs w:val="32"/>
        </w:rPr>
        <w:t>残疾人福利性单位声明函</w:t>
      </w:r>
    </w:p>
    <w:bookmarkEnd w:id="547"/>
    <w:bookmarkEnd w:id="548"/>
    <w:p>
      <w:pPr>
        <w:spacing w:line="360" w:lineRule="auto"/>
        <w:rPr>
          <w:rFonts w:ascii="宋体" w:hAnsi="宋体" w:cs="宋体"/>
          <w:b/>
          <w:spacing w:val="6"/>
          <w:sz w:val="30"/>
          <w:szCs w:val="30"/>
        </w:rPr>
      </w:pPr>
    </w:p>
    <w:p>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z w:val="24"/>
          <w:u w:val="single"/>
        </w:rPr>
        <w:t>（采购人）</w:t>
      </w:r>
      <w:r>
        <w:rPr>
          <w:rFonts w:hint="eastAsia" w:ascii="宋体" w:hAnsi="宋体" w:cs="宋体"/>
          <w:sz w:val="24"/>
        </w:rPr>
        <w:t>单位的</w:t>
      </w:r>
      <w:r>
        <w:rPr>
          <w:rFonts w:hint="eastAsia" w:ascii="宋体" w:hAnsi="宋体" w:cs="宋体"/>
          <w:sz w:val="24"/>
          <w:u w:val="single"/>
        </w:rPr>
        <w:t>（项目名称）</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tabs>
          <w:tab w:val="left" w:pos="4860"/>
        </w:tabs>
        <w:spacing w:line="360" w:lineRule="auto"/>
        <w:ind w:right="1560" w:firstLine="480" w:firstLineChars="200"/>
        <w:jc w:val="center"/>
        <w:rPr>
          <w:rFonts w:ascii="宋体" w:hAnsi="宋体" w:cs="宋体"/>
          <w:sz w:val="24"/>
        </w:rPr>
      </w:pPr>
      <w:r>
        <w:rPr>
          <w:rFonts w:hint="eastAsia" w:ascii="宋体" w:hAnsi="宋体" w:cs="宋体"/>
          <w:kern w:val="0"/>
          <w:sz w:val="24"/>
          <w:lang w:val="zh-CN"/>
        </w:rPr>
        <w:t>投标人名称（电子签名）</w:t>
      </w:r>
      <w:r>
        <w:rPr>
          <w:rFonts w:hint="eastAsia" w:ascii="宋体" w:hAnsi="宋体" w:cs="宋体"/>
          <w:sz w:val="24"/>
        </w:rPr>
        <w:t>：</w:t>
      </w:r>
    </w:p>
    <w:p>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pPr>
        <w:spacing w:line="360" w:lineRule="auto"/>
        <w:ind w:firstLine="480" w:firstLineChars="200"/>
        <w:rPr>
          <w:rFonts w:ascii="宋体" w:hAnsi="宋体" w:cs="宋体"/>
          <w:sz w:val="24"/>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2"/>
      </w:pPr>
    </w:p>
    <w:p>
      <w:pPr>
        <w:autoSpaceDE w:val="0"/>
        <w:autoSpaceDN w:val="0"/>
        <w:jc w:val="center"/>
        <w:rPr>
          <w:rFonts w:ascii="宋体" w:hAnsi="宋体" w:cs="宋体"/>
          <w:b/>
          <w:spacing w:val="6"/>
          <w:sz w:val="32"/>
          <w:szCs w:val="32"/>
        </w:rPr>
      </w:pPr>
    </w:p>
    <w:p>
      <w:pPr>
        <w:snapToGrid w:val="0"/>
        <w:spacing w:line="360" w:lineRule="auto"/>
        <w:outlineLvl w:val="0"/>
        <w:rPr>
          <w:rFonts w:ascii="宋体" w:hAnsi="宋体" w:cs="宋体"/>
          <w:b/>
          <w:kern w:val="0"/>
          <w:sz w:val="44"/>
          <w:szCs w:val="44"/>
        </w:rPr>
      </w:pPr>
      <w:r>
        <w:rPr>
          <w:rFonts w:hint="eastAsia" w:ascii="宋体" w:hAnsi="宋体" w:cs="宋体"/>
          <w:b/>
          <w:kern w:val="0"/>
          <w:sz w:val="44"/>
          <w:szCs w:val="44"/>
        </w:rPr>
        <w:t>附件2：</w:t>
      </w:r>
    </w:p>
    <w:p>
      <w:pPr>
        <w:spacing w:line="360" w:lineRule="auto"/>
        <w:jc w:val="center"/>
        <w:rPr>
          <w:rFonts w:ascii="宋体" w:hAnsi="宋体" w:cs="宋体"/>
          <w:sz w:val="24"/>
          <w:u w:val="single"/>
        </w:rPr>
      </w:pPr>
    </w:p>
    <w:p>
      <w:pPr>
        <w:spacing w:line="360" w:lineRule="auto"/>
        <w:jc w:val="center"/>
        <w:rPr>
          <w:rFonts w:ascii="宋体" w:hAnsi="宋体" w:cs="宋体"/>
          <w:b/>
          <w:sz w:val="32"/>
          <w:szCs w:val="32"/>
        </w:rPr>
      </w:pPr>
      <w:r>
        <w:rPr>
          <w:rFonts w:hint="eastAsia" w:ascii="宋体" w:hAnsi="宋体" w:cs="宋体"/>
          <w:b/>
          <w:sz w:val="32"/>
          <w:szCs w:val="32"/>
        </w:rPr>
        <w:t>小</w:t>
      </w:r>
      <w:r>
        <w:rPr>
          <w:rFonts w:hint="eastAsia" w:ascii="宋体" w:hAnsi="宋体" w:cs="宋体"/>
          <w:b/>
          <w:sz w:val="32"/>
          <w:szCs w:val="32"/>
          <w:lang w:eastAsia="zh-CN"/>
        </w:rPr>
        <w:t>微</w:t>
      </w:r>
      <w:r>
        <w:rPr>
          <w:rFonts w:hint="eastAsia" w:ascii="宋体" w:hAnsi="宋体" w:cs="宋体"/>
          <w:b/>
          <w:sz w:val="32"/>
          <w:szCs w:val="32"/>
        </w:rPr>
        <w:t>企业声明函（货物）</w:t>
      </w:r>
    </w:p>
    <w:p>
      <w:pPr>
        <w:spacing w:line="360" w:lineRule="auto"/>
        <w:ind w:firstLine="480" w:firstLineChars="200"/>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 xml:space="preserve">的 </w:t>
      </w:r>
      <w:r>
        <w:rPr>
          <w:rFonts w:hint="eastAsia" w:ascii="宋体" w:hAnsi="宋体" w:cs="宋体"/>
          <w:sz w:val="24"/>
          <w:u w:val="single"/>
        </w:rPr>
        <w:t>（项目名称）</w:t>
      </w:r>
      <w:r>
        <w:rPr>
          <w:rFonts w:hint="eastAsia" w:ascii="宋体" w:hAnsi="宋体" w:cs="宋体"/>
          <w:sz w:val="24"/>
        </w:rPr>
        <w:t xml:space="preserve"> 采购活动，</w:t>
      </w:r>
      <w:r>
        <w:rPr>
          <w:rFonts w:hint="eastAsia" w:ascii="宋体" w:hAnsi="宋体" w:cs="宋体"/>
          <w:b/>
          <w:bCs/>
          <w:sz w:val="24"/>
        </w:rPr>
        <w:t>提供的货物全部由符合政策要求的小</w:t>
      </w:r>
      <w:r>
        <w:rPr>
          <w:rFonts w:hint="eastAsia" w:ascii="宋体" w:hAnsi="宋体" w:cs="宋体"/>
          <w:b/>
          <w:bCs/>
          <w:sz w:val="24"/>
          <w:lang w:eastAsia="zh-CN"/>
        </w:rPr>
        <w:t>微</w:t>
      </w:r>
      <w:r>
        <w:rPr>
          <w:rFonts w:hint="eastAsia" w:ascii="宋体" w:hAnsi="宋体" w:cs="宋体"/>
          <w:b/>
          <w:bCs/>
          <w:sz w:val="24"/>
        </w:rPr>
        <w:t>企业制造</w:t>
      </w:r>
      <w:r>
        <w:rPr>
          <w:rFonts w:hint="eastAsia" w:ascii="宋体" w:hAnsi="宋体" w:cs="宋体"/>
          <w:sz w:val="24"/>
        </w:rPr>
        <w:t>。相关企业（含联合体中的中小企业、签订分包意向协议的中小企业）的具体情况如下：</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，从业人员人，营业收入为万元，资产总额为万元，属于</w:t>
      </w:r>
      <w:r>
        <w:rPr>
          <w:rFonts w:hint="eastAsia" w:ascii="宋体" w:hAnsi="宋体" w:cs="宋体"/>
          <w:sz w:val="24"/>
          <w:u w:val="single"/>
        </w:rPr>
        <w:t xml:space="preserve"> （小型企业、微型企业）</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，从业人员人，营业收入为万元，资产总额为万元，属于</w:t>
      </w:r>
      <w:r>
        <w:rPr>
          <w:rFonts w:hint="eastAsia" w:ascii="宋体" w:hAnsi="宋体" w:cs="宋体"/>
          <w:sz w:val="24"/>
          <w:u w:val="single"/>
        </w:rPr>
        <w:t xml:space="preserve"> （小型企业、微型企业）</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月日</w:t>
      </w:r>
    </w:p>
    <w:p>
      <w:pPr>
        <w:spacing w:line="360" w:lineRule="auto"/>
        <w:jc w:val="left"/>
        <w:rPr>
          <w:rFonts w:ascii="宋体" w:hAnsi="宋体" w:cs="宋体"/>
          <w:sz w:val="18"/>
          <w:szCs w:val="18"/>
        </w:rPr>
      </w:pPr>
      <w:r>
        <w:rPr>
          <w:rFonts w:hint="eastAsia" w:ascii="宋体" w:hAnsi="宋体" w:cs="宋体"/>
          <w:sz w:val="18"/>
          <w:szCs w:val="18"/>
        </w:rPr>
        <w:t>从业人员、营业收入、资产总额填报上一年度数据，无上一年度数据的新成立企业可不填报。</w:t>
      </w:r>
    </w:p>
    <w:p>
      <w:pPr>
        <w:spacing w:line="360" w:lineRule="auto"/>
        <w:ind w:right="420" w:firstLine="480" w:firstLineChars="200"/>
        <w:rPr>
          <w:rFonts w:ascii="宋体" w:hAnsi="宋体" w:cs="宋体"/>
          <w:sz w:val="24"/>
        </w:rPr>
      </w:pPr>
      <w:r>
        <w:rPr>
          <w:rFonts w:hint="eastAsia" w:ascii="宋体" w:hAnsi="宋体" w:cs="宋体"/>
          <w:sz w:val="24"/>
        </w:rPr>
        <w:t>注：</w:t>
      </w:r>
    </w:p>
    <w:p>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480" w:firstLineChars="2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hd w:val="clear" w:color="auto" w:fill="FFFFFF"/>
        <w:spacing w:before="120" w:line="330" w:lineRule="atLeast"/>
        <w:ind w:firstLine="420"/>
        <w:rPr>
          <w:rFonts w:ascii="微软雅黑" w:hAnsi="微软雅黑" w:cs="宋体"/>
          <w:b/>
          <w:szCs w:val="21"/>
        </w:rPr>
      </w:pPr>
      <w:r>
        <w:rPr>
          <w:rFonts w:hint="eastAsia" w:ascii="微软雅黑" w:hAnsi="微软雅黑" w:cs="宋体"/>
          <w:b/>
          <w:szCs w:val="21"/>
        </w:rPr>
        <w:t>附</w:t>
      </w:r>
      <w:r>
        <w:rPr>
          <w:rFonts w:ascii="微软雅黑" w:hAnsi="微软雅黑" w:cs="宋体"/>
          <w:b/>
          <w:szCs w:val="21"/>
        </w:rPr>
        <w:t>件：</w:t>
      </w:r>
    </w:p>
    <w:p>
      <w:pPr>
        <w:shd w:val="clear" w:color="auto" w:fill="FFFFFF"/>
        <w:spacing w:before="120" w:line="330" w:lineRule="atLeast"/>
        <w:ind w:firstLine="420"/>
        <w:jc w:val="center"/>
        <w:rPr>
          <w:rFonts w:ascii="微软雅黑" w:hAnsi="微软雅黑" w:cs="宋体"/>
          <w:b/>
          <w:szCs w:val="21"/>
        </w:rPr>
      </w:pPr>
    </w:p>
    <w:p>
      <w:pPr>
        <w:shd w:val="clear" w:color="auto" w:fill="FFFFFF"/>
        <w:spacing w:before="120" w:line="330" w:lineRule="atLeast"/>
        <w:ind w:firstLine="420"/>
        <w:jc w:val="center"/>
        <w:rPr>
          <w:rFonts w:ascii="微软雅黑" w:hAnsi="微软雅黑" w:cs="宋体"/>
          <w:bCs/>
          <w:szCs w:val="21"/>
        </w:rPr>
      </w:pPr>
      <w:r>
        <w:rPr>
          <w:rFonts w:hint="eastAsia" w:ascii="微软雅黑" w:hAnsi="微软雅黑" w:cs="宋体"/>
          <w:b/>
          <w:szCs w:val="21"/>
        </w:rPr>
        <w:t>国家统计局关于印发统计上大中小微型企业划分办法的通知</w:t>
      </w:r>
    </w:p>
    <w:p>
      <w:pPr>
        <w:shd w:val="clear" w:color="auto" w:fill="FFFFFF"/>
        <w:spacing w:line="330" w:lineRule="atLeast"/>
        <w:ind w:firstLine="420"/>
        <w:jc w:val="center"/>
        <w:rPr>
          <w:rFonts w:ascii="微软雅黑" w:hAnsi="微软雅黑" w:cs="宋体"/>
          <w:bCs/>
          <w:szCs w:val="21"/>
        </w:rPr>
      </w:pPr>
      <w:r>
        <w:rPr>
          <w:rFonts w:hint="eastAsia" w:ascii="微软雅黑" w:hAnsi="微软雅黑" w:cs="宋体"/>
          <w:szCs w:val="21"/>
        </w:rPr>
        <w:t>国统字〔</w:t>
      </w:r>
      <w:r>
        <w:rPr>
          <w:rFonts w:ascii="微软雅黑" w:hAnsi="微软雅黑"/>
          <w:szCs w:val="21"/>
        </w:rPr>
        <w:t>2011</w:t>
      </w:r>
      <w:r>
        <w:rPr>
          <w:rFonts w:hint="eastAsia" w:ascii="微软雅黑" w:hAnsi="微软雅黑" w:cs="宋体"/>
          <w:szCs w:val="21"/>
        </w:rPr>
        <w:t>〕</w:t>
      </w:r>
      <w:r>
        <w:rPr>
          <w:rFonts w:ascii="微软雅黑" w:hAnsi="微软雅黑"/>
          <w:szCs w:val="21"/>
        </w:rPr>
        <w:t>75</w:t>
      </w:r>
      <w:r>
        <w:rPr>
          <w:rFonts w:hint="eastAsia" w:ascii="微软雅黑" w:hAnsi="微软雅黑" w:cs="宋体"/>
          <w:szCs w:val="21"/>
        </w:rPr>
        <w:t>号</w:t>
      </w:r>
    </w:p>
    <w:p>
      <w:pPr>
        <w:shd w:val="clear" w:color="auto" w:fill="FFFFFF"/>
        <w:spacing w:line="330" w:lineRule="atLeast"/>
        <w:ind w:firstLine="420"/>
        <w:rPr>
          <w:rFonts w:ascii="微软雅黑" w:hAnsi="微软雅黑" w:cs="宋体"/>
          <w:bCs/>
          <w:szCs w:val="21"/>
        </w:rPr>
      </w:pPr>
      <w:r>
        <w:rPr>
          <w:rFonts w:ascii="微软雅黑" w:hAnsi="微软雅黑"/>
          <w:szCs w:val="21"/>
        </w:rPr>
        <w:t> </w:t>
      </w:r>
    </w:p>
    <w:p>
      <w:pPr>
        <w:shd w:val="clear" w:color="auto" w:fill="FFFFFF"/>
        <w:spacing w:line="330" w:lineRule="atLeast"/>
        <w:ind w:firstLine="420"/>
        <w:rPr>
          <w:rFonts w:ascii="微软雅黑" w:hAnsi="微软雅黑" w:cs="宋体"/>
          <w:bCs/>
          <w:szCs w:val="21"/>
        </w:rPr>
      </w:pPr>
      <w:r>
        <w:rPr>
          <w:rFonts w:hint="eastAsia" w:ascii="微软雅黑" w:hAnsi="微软雅黑" w:cs="宋体"/>
          <w:szCs w:val="21"/>
        </w:rPr>
        <w:t>各省、自治区、直辖市统计局，新疆生产建设兵团统计局，国家统计局各调查总队，国务院有关部门：</w:t>
      </w:r>
    </w:p>
    <w:p>
      <w:pPr>
        <w:shd w:val="clear" w:color="auto" w:fill="FFFFFF"/>
        <w:spacing w:line="330" w:lineRule="atLeast"/>
        <w:ind w:firstLine="420"/>
        <w:rPr>
          <w:rFonts w:ascii="微软雅黑" w:hAnsi="微软雅黑" w:cs="宋体"/>
          <w:bCs/>
          <w:szCs w:val="21"/>
        </w:rPr>
      </w:pPr>
      <w:r>
        <w:rPr>
          <w:rFonts w:ascii="微软雅黑" w:hAnsi="微软雅黑"/>
          <w:szCs w:val="21"/>
        </w:rPr>
        <w:t> </w:t>
      </w:r>
    </w:p>
    <w:p>
      <w:pPr>
        <w:shd w:val="clear" w:color="auto" w:fill="FFFFFF"/>
        <w:spacing w:line="330" w:lineRule="atLeast"/>
        <w:ind w:firstLine="420"/>
        <w:rPr>
          <w:rFonts w:ascii="微软雅黑" w:hAnsi="微软雅黑" w:cs="宋体"/>
          <w:bCs/>
          <w:szCs w:val="21"/>
        </w:rPr>
      </w:pPr>
      <w:r>
        <w:rPr>
          <w:rFonts w:hint="eastAsia" w:ascii="微软雅黑" w:hAnsi="微软雅黑" w:cs="宋体"/>
          <w:szCs w:val="21"/>
        </w:rPr>
        <w:t>　　为贯彻落实工业和信息化部、国家统计局、国家发展改革委、财政部《关于印发中小企业划型标准规定的通知》（工信部联企业〔</w:t>
      </w:r>
      <w:r>
        <w:rPr>
          <w:rFonts w:ascii="微软雅黑" w:hAnsi="微软雅黑"/>
          <w:szCs w:val="21"/>
        </w:rPr>
        <w:t>2011</w:t>
      </w:r>
      <w:r>
        <w:rPr>
          <w:rFonts w:hint="eastAsia" w:ascii="微软雅黑" w:hAnsi="微软雅黑" w:cs="宋体"/>
          <w:szCs w:val="21"/>
        </w:rPr>
        <w:t>〕</w:t>
      </w:r>
      <w:r>
        <w:rPr>
          <w:rFonts w:ascii="微软雅黑" w:hAnsi="微软雅黑"/>
          <w:szCs w:val="21"/>
        </w:rPr>
        <w:t>300</w:t>
      </w:r>
      <w:r>
        <w:rPr>
          <w:rFonts w:hint="eastAsia" w:ascii="微软雅黑" w:hAnsi="微软雅黑" w:cs="宋体"/>
          <w:szCs w:val="21"/>
        </w:rPr>
        <w:t>号），结合统计工作的实际情况，我们制定了《统计上大中小微型企业划分办法》。现印发给你们，请遵照执行。</w:t>
      </w:r>
    </w:p>
    <w:p>
      <w:pPr>
        <w:shd w:val="clear" w:color="auto" w:fill="FFFFFF"/>
        <w:spacing w:line="330" w:lineRule="atLeast"/>
        <w:ind w:firstLine="420"/>
        <w:rPr>
          <w:rFonts w:ascii="微软雅黑" w:hAnsi="微软雅黑" w:cs="宋体"/>
          <w:bCs/>
          <w:szCs w:val="21"/>
        </w:rPr>
      </w:pPr>
      <w:r>
        <w:rPr>
          <w:rFonts w:ascii="微软雅黑" w:hAnsi="微软雅黑"/>
          <w:szCs w:val="21"/>
        </w:rPr>
        <w:t> </w:t>
      </w:r>
    </w:p>
    <w:p>
      <w:pPr>
        <w:shd w:val="clear" w:color="auto" w:fill="FFFFFF"/>
        <w:wordWrap w:val="0"/>
        <w:spacing w:line="330" w:lineRule="atLeast"/>
        <w:ind w:firstLine="420"/>
        <w:jc w:val="right"/>
        <w:rPr>
          <w:rFonts w:ascii="微软雅黑" w:hAnsi="微软雅黑" w:cs="宋体"/>
          <w:bCs/>
          <w:szCs w:val="21"/>
        </w:rPr>
      </w:pPr>
      <w:r>
        <w:rPr>
          <w:rFonts w:hint="eastAsia" w:ascii="微软雅黑" w:hAnsi="微软雅黑" w:cs="宋体"/>
          <w:szCs w:val="21"/>
        </w:rPr>
        <w:t>　　国家统计局</w:t>
      </w:r>
      <w:r>
        <w:rPr>
          <w:rFonts w:ascii="微软雅黑" w:hAnsi="微软雅黑"/>
          <w:szCs w:val="21"/>
        </w:rPr>
        <w:t> </w:t>
      </w:r>
    </w:p>
    <w:p>
      <w:pPr>
        <w:shd w:val="clear" w:color="auto" w:fill="FFFFFF"/>
        <w:spacing w:line="330" w:lineRule="atLeast"/>
        <w:ind w:firstLine="420"/>
        <w:jc w:val="right"/>
        <w:rPr>
          <w:rFonts w:ascii="微软雅黑" w:hAnsi="微软雅黑" w:cs="宋体"/>
          <w:bCs/>
          <w:szCs w:val="21"/>
        </w:rPr>
      </w:pPr>
      <w:r>
        <w:rPr>
          <w:rFonts w:hint="eastAsia" w:ascii="微软雅黑" w:hAnsi="微软雅黑" w:cs="宋体"/>
          <w:szCs w:val="21"/>
        </w:rPr>
        <w:t>　　二〇一一年九月二日</w:t>
      </w:r>
    </w:p>
    <w:p>
      <w:pPr>
        <w:shd w:val="clear" w:color="auto" w:fill="FFFFFF"/>
        <w:spacing w:line="330" w:lineRule="atLeast"/>
        <w:ind w:firstLine="420"/>
        <w:rPr>
          <w:rFonts w:ascii="微软雅黑" w:hAnsi="微软雅黑" w:cs="宋体"/>
          <w:bCs/>
          <w:szCs w:val="21"/>
        </w:rPr>
      </w:pPr>
      <w:r>
        <w:rPr>
          <w:rFonts w:ascii="微软雅黑" w:hAnsi="微软雅黑"/>
          <w:szCs w:val="21"/>
        </w:rPr>
        <w:t> </w:t>
      </w:r>
    </w:p>
    <w:p>
      <w:pPr>
        <w:shd w:val="clear" w:color="auto" w:fill="FFFFFF"/>
        <w:spacing w:line="330" w:lineRule="atLeast"/>
        <w:ind w:firstLine="420"/>
        <w:jc w:val="center"/>
        <w:rPr>
          <w:rFonts w:ascii="微软雅黑" w:hAnsi="微软雅黑" w:cs="宋体"/>
          <w:b/>
          <w:szCs w:val="21"/>
        </w:rPr>
      </w:pPr>
    </w:p>
    <w:p>
      <w:pPr>
        <w:shd w:val="clear" w:color="auto" w:fill="FFFFFF"/>
        <w:spacing w:line="330" w:lineRule="atLeast"/>
        <w:ind w:firstLine="420"/>
        <w:jc w:val="center"/>
        <w:rPr>
          <w:rFonts w:ascii="微软雅黑" w:hAnsi="微软雅黑" w:cs="宋体"/>
          <w:b/>
          <w:szCs w:val="21"/>
        </w:rPr>
      </w:pPr>
    </w:p>
    <w:p>
      <w:pPr>
        <w:shd w:val="clear" w:color="auto" w:fill="FFFFFF"/>
        <w:spacing w:line="330" w:lineRule="atLeast"/>
        <w:ind w:firstLine="420"/>
        <w:jc w:val="center"/>
        <w:rPr>
          <w:rFonts w:ascii="微软雅黑" w:hAnsi="微软雅黑" w:cs="宋体"/>
          <w:bCs/>
          <w:szCs w:val="21"/>
        </w:rPr>
      </w:pPr>
      <w:r>
        <w:rPr>
          <w:rFonts w:hint="eastAsia" w:ascii="微软雅黑" w:hAnsi="微软雅黑" w:cs="宋体"/>
          <w:b/>
          <w:szCs w:val="21"/>
        </w:rPr>
        <w:t>统计上大中小微型企业划分办法</w:t>
      </w:r>
    </w:p>
    <w:p>
      <w:pPr>
        <w:shd w:val="clear" w:color="auto" w:fill="FFFFFF"/>
        <w:spacing w:line="330" w:lineRule="atLeast"/>
        <w:ind w:firstLine="420"/>
        <w:rPr>
          <w:rFonts w:ascii="微软雅黑" w:hAnsi="微软雅黑" w:cs="宋体"/>
          <w:bCs/>
          <w:szCs w:val="21"/>
        </w:rPr>
      </w:pPr>
      <w:r>
        <w:rPr>
          <w:rFonts w:hint="eastAsia" w:ascii="微软雅黑" w:hAnsi="微软雅黑" w:cs="宋体"/>
          <w:szCs w:val="21"/>
        </w:rPr>
        <w:t> </w:t>
      </w:r>
    </w:p>
    <w:p>
      <w:pPr>
        <w:shd w:val="clear" w:color="auto" w:fill="FFFFFF"/>
        <w:spacing w:line="330" w:lineRule="atLeast"/>
        <w:ind w:firstLine="420"/>
        <w:rPr>
          <w:rFonts w:ascii="微软雅黑" w:hAnsi="微软雅黑" w:cs="宋体"/>
          <w:bCs/>
          <w:szCs w:val="21"/>
        </w:rPr>
      </w:pPr>
      <w:r>
        <w:rPr>
          <w:rFonts w:hint="eastAsia" w:ascii="微软雅黑" w:hAnsi="微软雅黑" w:cs="宋体"/>
          <w:szCs w:val="21"/>
        </w:rPr>
        <w:t>一、根据工业和信息化部、国家统计局、国家发展改革委、财政部《关于印发中小企业划型标准规定的通知》（工信部联企业〔</w:t>
      </w:r>
      <w:r>
        <w:rPr>
          <w:rFonts w:ascii="微软雅黑" w:hAnsi="微软雅黑"/>
          <w:szCs w:val="21"/>
        </w:rPr>
        <w:t>2011</w:t>
      </w:r>
      <w:r>
        <w:rPr>
          <w:rFonts w:hint="eastAsia" w:ascii="微软雅黑" w:hAnsi="微软雅黑" w:cs="宋体"/>
          <w:szCs w:val="21"/>
        </w:rPr>
        <w:t>〕</w:t>
      </w:r>
      <w:r>
        <w:rPr>
          <w:rFonts w:ascii="微软雅黑" w:hAnsi="微软雅黑"/>
          <w:szCs w:val="21"/>
        </w:rPr>
        <w:t>300</w:t>
      </w:r>
      <w:r>
        <w:rPr>
          <w:rFonts w:hint="eastAsia" w:ascii="微软雅黑" w:hAnsi="微软雅黑" w:cs="宋体"/>
          <w:szCs w:val="21"/>
        </w:rPr>
        <w:t>号），结合统计工作的实际情况，特制定本办法。</w:t>
      </w:r>
    </w:p>
    <w:p>
      <w:pPr>
        <w:shd w:val="clear" w:color="auto" w:fill="FFFFFF"/>
        <w:spacing w:line="330" w:lineRule="atLeast"/>
        <w:ind w:firstLine="420"/>
        <w:rPr>
          <w:rFonts w:ascii="微软雅黑" w:hAnsi="微软雅黑" w:cs="宋体"/>
          <w:bCs/>
          <w:szCs w:val="21"/>
        </w:rPr>
      </w:pPr>
      <w:r>
        <w:rPr>
          <w:rFonts w:ascii="微软雅黑" w:hAnsi="微软雅黑"/>
          <w:szCs w:val="21"/>
        </w:rPr>
        <w:t> </w:t>
      </w:r>
    </w:p>
    <w:p>
      <w:pPr>
        <w:shd w:val="clear" w:color="auto" w:fill="FFFFFF"/>
        <w:spacing w:line="330" w:lineRule="atLeast"/>
        <w:ind w:firstLine="420"/>
        <w:rPr>
          <w:rFonts w:ascii="微软雅黑" w:hAnsi="微软雅黑" w:cs="宋体"/>
          <w:bCs/>
          <w:szCs w:val="21"/>
        </w:rPr>
      </w:pPr>
      <w:r>
        <w:rPr>
          <w:rFonts w:hint="eastAsia" w:ascii="微软雅黑" w:hAnsi="微软雅黑" w:cs="宋体"/>
          <w:szCs w:val="21"/>
        </w:rPr>
        <w:t>二、本办法适用对象为在中华人民共和国境内依法设立的各种组织形式的法人企业或单位。个体工商户参照本办法进行划分。</w:t>
      </w:r>
    </w:p>
    <w:p>
      <w:pPr>
        <w:shd w:val="clear" w:color="auto" w:fill="FFFFFF"/>
        <w:spacing w:line="330" w:lineRule="atLeast"/>
        <w:ind w:firstLine="420"/>
        <w:rPr>
          <w:rFonts w:ascii="微软雅黑" w:hAnsi="微软雅黑" w:cs="宋体"/>
          <w:bCs/>
          <w:szCs w:val="21"/>
        </w:rPr>
      </w:pPr>
      <w:r>
        <w:rPr>
          <w:rFonts w:ascii="微软雅黑" w:hAnsi="微软雅黑"/>
          <w:szCs w:val="21"/>
        </w:rPr>
        <w:t> </w:t>
      </w:r>
      <w:r>
        <w:rPr>
          <w:rFonts w:hint="eastAsia" w:ascii="微软雅黑" w:hAnsi="微软雅黑" w:cs="宋体"/>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Pr>
          <w:rFonts w:ascii="微软雅黑" w:hAnsi="微软雅黑"/>
          <w:szCs w:val="21"/>
        </w:rPr>
        <w:t>15</w:t>
      </w:r>
      <w:r>
        <w:rPr>
          <w:rFonts w:hint="eastAsia" w:ascii="微软雅黑" w:hAnsi="微软雅黑" w:cs="宋体"/>
          <w:szCs w:val="21"/>
        </w:rPr>
        <w:t>个行业门类以及社会工作行业大类。</w:t>
      </w:r>
    </w:p>
    <w:p>
      <w:pPr>
        <w:shd w:val="clear" w:color="auto" w:fill="FFFFFF"/>
        <w:spacing w:line="330" w:lineRule="atLeast"/>
        <w:ind w:firstLine="420"/>
        <w:rPr>
          <w:rFonts w:ascii="微软雅黑" w:hAnsi="微软雅黑" w:cs="宋体"/>
          <w:bCs/>
          <w:szCs w:val="21"/>
        </w:rPr>
      </w:pPr>
      <w:r>
        <w:rPr>
          <w:rFonts w:hint="eastAsia" w:ascii="微软雅黑" w:hAnsi="微软雅黑" w:cs="宋体"/>
          <w:szCs w:val="21"/>
        </w:rPr>
        <w:t>四、本办法按照行业门类、大类、中类和组合类别，依据从业人员、营业收入、资产总额等指标或替代指标，将我国的企业划分为大型、中型、小型、微型等四种类型。具体划分标准见附表。</w:t>
      </w:r>
    </w:p>
    <w:p>
      <w:pPr>
        <w:shd w:val="clear" w:color="auto" w:fill="FFFFFF"/>
        <w:spacing w:line="330" w:lineRule="atLeast"/>
        <w:ind w:firstLine="420"/>
        <w:rPr>
          <w:rFonts w:ascii="微软雅黑" w:hAnsi="微软雅黑" w:cs="宋体"/>
          <w:bCs/>
          <w:szCs w:val="21"/>
        </w:rPr>
      </w:pPr>
      <w:r>
        <w:rPr>
          <w:rFonts w:ascii="微软雅黑" w:hAnsi="微软雅黑"/>
          <w:szCs w:val="21"/>
        </w:rPr>
        <w:t> </w:t>
      </w:r>
      <w:r>
        <w:rPr>
          <w:rFonts w:hint="eastAsia" w:ascii="微软雅黑" w:hAnsi="微软雅黑" w:cs="宋体"/>
          <w:szCs w:val="21"/>
        </w:rPr>
        <w:t>五、企业划分由政府综合统计部门根据统计年报每年确定一次，定报统计原则上不进行调整。</w:t>
      </w:r>
    </w:p>
    <w:p>
      <w:pPr>
        <w:shd w:val="clear" w:color="auto" w:fill="FFFFFF"/>
        <w:spacing w:line="330" w:lineRule="atLeast"/>
        <w:ind w:firstLine="420"/>
        <w:rPr>
          <w:rFonts w:ascii="微软雅黑" w:hAnsi="微软雅黑" w:cs="宋体"/>
          <w:bCs/>
          <w:szCs w:val="21"/>
        </w:rPr>
      </w:pPr>
      <w:r>
        <w:rPr>
          <w:rFonts w:hint="eastAsia" w:ascii="微软雅黑" w:hAnsi="微软雅黑" w:cs="宋体"/>
          <w:szCs w:val="21"/>
        </w:rPr>
        <w:t>六、本办法自印发之日起执行，国家统计局</w:t>
      </w:r>
      <w:r>
        <w:rPr>
          <w:rFonts w:ascii="微软雅黑" w:hAnsi="微软雅黑"/>
          <w:szCs w:val="21"/>
        </w:rPr>
        <w:t>2003</w:t>
      </w:r>
      <w:r>
        <w:rPr>
          <w:rFonts w:hint="eastAsia" w:ascii="微软雅黑" w:hAnsi="微软雅黑" w:cs="宋体"/>
          <w:szCs w:val="21"/>
        </w:rPr>
        <w:t>年印发的《统计上大中小型企业划分办法（暂行）》（国统字〔</w:t>
      </w:r>
      <w:r>
        <w:rPr>
          <w:rFonts w:ascii="微软雅黑" w:hAnsi="微软雅黑"/>
          <w:szCs w:val="21"/>
        </w:rPr>
        <w:t>2003</w:t>
      </w:r>
      <w:r>
        <w:rPr>
          <w:rFonts w:hint="eastAsia" w:ascii="微软雅黑" w:hAnsi="微软雅黑" w:cs="宋体"/>
          <w:szCs w:val="21"/>
        </w:rPr>
        <w:t>〕</w:t>
      </w:r>
      <w:r>
        <w:rPr>
          <w:rFonts w:ascii="微软雅黑" w:hAnsi="微软雅黑"/>
          <w:szCs w:val="21"/>
        </w:rPr>
        <w:t>17</w:t>
      </w:r>
      <w:r>
        <w:rPr>
          <w:rFonts w:hint="eastAsia" w:ascii="微软雅黑" w:hAnsi="微软雅黑" w:cs="宋体"/>
          <w:szCs w:val="21"/>
        </w:rPr>
        <w:t>号）同时废止。</w:t>
      </w:r>
    </w:p>
    <w:p>
      <w:pPr>
        <w:shd w:val="clear" w:color="auto" w:fill="FFFFFF"/>
        <w:spacing w:line="330" w:lineRule="atLeast"/>
        <w:ind w:firstLine="482"/>
        <w:rPr>
          <w:rFonts w:ascii="微软雅黑" w:hAnsi="微软雅黑" w:cs="宋体"/>
          <w:bCs/>
          <w:szCs w:val="21"/>
        </w:rPr>
      </w:pPr>
      <w:r>
        <w:rPr>
          <w:b/>
          <w:sz w:val="24"/>
        </w:rPr>
        <w:t> </w:t>
      </w:r>
      <w:r>
        <w:rPr>
          <w:rFonts w:hint="eastAsia" w:ascii="微软雅黑" w:hAnsi="微软雅黑" w:cs="宋体"/>
          <w:szCs w:val="21"/>
        </w:rPr>
        <w:t>　　附表：</w:t>
      </w:r>
    </w:p>
    <w:p>
      <w:pPr>
        <w:shd w:val="clear" w:color="auto" w:fill="FFFFFF"/>
        <w:spacing w:line="330" w:lineRule="atLeast"/>
        <w:ind w:firstLine="420"/>
        <w:rPr>
          <w:rFonts w:ascii="微软雅黑" w:hAnsi="微软雅黑" w:cs="宋体"/>
          <w:bCs/>
          <w:szCs w:val="21"/>
        </w:rPr>
      </w:pPr>
      <w:r>
        <w:rPr>
          <w:rFonts w:ascii="微软雅黑" w:hAnsi="微软雅黑"/>
          <w:szCs w:val="21"/>
        </w:rPr>
        <w:t> </w:t>
      </w:r>
      <w:r>
        <w:rPr>
          <w:rFonts w:hint="eastAsia" w:ascii="微软雅黑" w:hAnsi="微软雅黑" w:cs="宋体"/>
          <w:b/>
          <w:szCs w:val="21"/>
        </w:rPr>
        <w:t>统计上大中小微型企业划分标准</w:t>
      </w:r>
    </w:p>
    <w:tbl>
      <w:tblPr>
        <w:tblStyle w:val="63"/>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0"/>
        <w:gridCol w:w="1281"/>
        <w:gridCol w:w="758"/>
        <w:gridCol w:w="993"/>
        <w:gridCol w:w="1491"/>
        <w:gridCol w:w="1315"/>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60" w:type="dxa"/>
            <w:noWrap/>
            <w:tcMar>
              <w:top w:w="0" w:type="dxa"/>
              <w:left w:w="108" w:type="dxa"/>
              <w:bottom w:w="0" w:type="dxa"/>
              <w:right w:w="108" w:type="dxa"/>
            </w:tcMar>
            <w:vAlign w:val="center"/>
          </w:tcPr>
          <w:p>
            <w:pPr>
              <w:spacing w:line="240" w:lineRule="atLeast"/>
              <w:jc w:val="center"/>
              <w:rPr>
                <w:rFonts w:ascii="宋体" w:hAnsi="宋体" w:cs="宋体"/>
                <w:bCs/>
                <w:sz w:val="24"/>
              </w:rPr>
            </w:pPr>
            <w:r>
              <w:rPr>
                <w:sz w:val="24"/>
              </w:rPr>
              <w:t> </w:t>
            </w:r>
            <w:r>
              <w:rPr>
                <w:rFonts w:hint="eastAsia" w:ascii="宋体" w:hAnsi="宋体" w:cs="宋体"/>
                <w:b/>
                <w:sz w:val="18"/>
                <w:szCs w:val="18"/>
              </w:rPr>
              <w:t>行业名称</w:t>
            </w:r>
          </w:p>
        </w:tc>
        <w:tc>
          <w:tcPr>
            <w:tcW w:w="1281" w:type="dxa"/>
            <w:noWrap/>
            <w:tcMar>
              <w:top w:w="0" w:type="dxa"/>
              <w:left w:w="108" w:type="dxa"/>
              <w:bottom w:w="0" w:type="dxa"/>
              <w:right w:w="108" w:type="dxa"/>
            </w:tcMar>
            <w:vAlign w:val="center"/>
          </w:tcPr>
          <w:p>
            <w:pPr>
              <w:jc w:val="center"/>
              <w:rPr>
                <w:rFonts w:ascii="宋体" w:hAnsi="宋体" w:cs="宋体"/>
                <w:bCs/>
                <w:sz w:val="24"/>
              </w:rPr>
            </w:pPr>
            <w:r>
              <w:rPr>
                <w:rFonts w:hint="eastAsia" w:ascii="宋体" w:hAnsi="宋体" w:cs="宋体"/>
                <w:b/>
                <w:sz w:val="18"/>
                <w:szCs w:val="18"/>
              </w:rPr>
              <w:t>指标名称</w:t>
            </w:r>
          </w:p>
        </w:tc>
        <w:tc>
          <w:tcPr>
            <w:tcW w:w="758" w:type="dxa"/>
            <w:noWrap/>
            <w:tcMar>
              <w:top w:w="0" w:type="dxa"/>
              <w:left w:w="108" w:type="dxa"/>
              <w:bottom w:w="0" w:type="dxa"/>
              <w:right w:w="108" w:type="dxa"/>
            </w:tcMar>
            <w:vAlign w:val="center"/>
          </w:tcPr>
          <w:p>
            <w:pPr>
              <w:jc w:val="center"/>
              <w:rPr>
                <w:rFonts w:ascii="宋体" w:hAnsi="宋体" w:cs="宋体"/>
                <w:b/>
                <w:sz w:val="18"/>
                <w:szCs w:val="18"/>
              </w:rPr>
            </w:pPr>
            <w:r>
              <w:rPr>
                <w:rFonts w:hint="eastAsia" w:ascii="宋体" w:hAnsi="宋体" w:cs="宋体"/>
                <w:b/>
                <w:sz w:val="18"/>
                <w:szCs w:val="18"/>
              </w:rPr>
              <w:t>计量</w:t>
            </w:r>
          </w:p>
          <w:p>
            <w:pPr>
              <w:jc w:val="center"/>
              <w:rPr>
                <w:rFonts w:ascii="宋体" w:hAnsi="宋体" w:cs="宋体"/>
                <w:bCs/>
                <w:sz w:val="24"/>
              </w:rPr>
            </w:pPr>
            <w:r>
              <w:rPr>
                <w:rFonts w:hint="eastAsia" w:ascii="宋体" w:hAnsi="宋体" w:cs="宋体"/>
                <w:b/>
                <w:sz w:val="18"/>
                <w:szCs w:val="18"/>
              </w:rPr>
              <w:t>单位</w:t>
            </w:r>
          </w:p>
        </w:tc>
        <w:tc>
          <w:tcPr>
            <w:tcW w:w="993" w:type="dxa"/>
            <w:noWrap/>
            <w:tcMar>
              <w:top w:w="0" w:type="dxa"/>
              <w:left w:w="108" w:type="dxa"/>
              <w:bottom w:w="0" w:type="dxa"/>
              <w:right w:w="108" w:type="dxa"/>
            </w:tcMar>
            <w:vAlign w:val="center"/>
          </w:tcPr>
          <w:p>
            <w:pPr>
              <w:jc w:val="center"/>
              <w:rPr>
                <w:rFonts w:ascii="宋体" w:hAnsi="宋体" w:cs="宋体"/>
                <w:bCs/>
                <w:sz w:val="24"/>
              </w:rPr>
            </w:pPr>
            <w:r>
              <w:rPr>
                <w:rFonts w:hint="eastAsia" w:ascii="宋体" w:hAnsi="宋体" w:cs="宋体"/>
                <w:b/>
                <w:sz w:val="18"/>
                <w:szCs w:val="18"/>
              </w:rPr>
              <w:t>大型</w:t>
            </w:r>
          </w:p>
        </w:tc>
        <w:tc>
          <w:tcPr>
            <w:tcW w:w="1491" w:type="dxa"/>
            <w:noWrap/>
            <w:tcMar>
              <w:top w:w="0" w:type="dxa"/>
              <w:left w:w="108" w:type="dxa"/>
              <w:bottom w:w="0" w:type="dxa"/>
              <w:right w:w="108" w:type="dxa"/>
            </w:tcMar>
            <w:vAlign w:val="center"/>
          </w:tcPr>
          <w:p>
            <w:pPr>
              <w:jc w:val="center"/>
              <w:rPr>
                <w:rFonts w:ascii="宋体" w:hAnsi="宋体" w:cs="宋体"/>
                <w:bCs/>
                <w:sz w:val="24"/>
              </w:rPr>
            </w:pPr>
            <w:r>
              <w:rPr>
                <w:rFonts w:hint="eastAsia" w:ascii="宋体" w:hAnsi="宋体" w:cs="宋体"/>
                <w:b/>
                <w:sz w:val="18"/>
                <w:szCs w:val="18"/>
              </w:rPr>
              <w:t>中型</w:t>
            </w:r>
          </w:p>
        </w:tc>
        <w:tc>
          <w:tcPr>
            <w:tcW w:w="1315" w:type="dxa"/>
            <w:noWrap/>
            <w:tcMar>
              <w:top w:w="0" w:type="dxa"/>
              <w:left w:w="108" w:type="dxa"/>
              <w:bottom w:w="0" w:type="dxa"/>
              <w:right w:w="108" w:type="dxa"/>
            </w:tcMar>
            <w:vAlign w:val="center"/>
          </w:tcPr>
          <w:p>
            <w:pPr>
              <w:jc w:val="center"/>
              <w:rPr>
                <w:rFonts w:ascii="宋体" w:hAnsi="宋体" w:cs="宋体"/>
                <w:bCs/>
                <w:sz w:val="24"/>
              </w:rPr>
            </w:pPr>
            <w:r>
              <w:rPr>
                <w:rFonts w:hint="eastAsia" w:ascii="宋体" w:hAnsi="宋体" w:cs="宋体"/>
                <w:b/>
                <w:sz w:val="18"/>
                <w:szCs w:val="18"/>
              </w:rPr>
              <w:t>小型</w:t>
            </w:r>
          </w:p>
        </w:tc>
        <w:tc>
          <w:tcPr>
            <w:tcW w:w="908" w:type="dxa"/>
            <w:noWrap/>
            <w:tcMar>
              <w:top w:w="0" w:type="dxa"/>
              <w:left w:w="108" w:type="dxa"/>
              <w:bottom w:w="0" w:type="dxa"/>
              <w:right w:w="108" w:type="dxa"/>
            </w:tcMar>
            <w:vAlign w:val="center"/>
          </w:tcPr>
          <w:p>
            <w:pPr>
              <w:jc w:val="center"/>
              <w:rPr>
                <w:rFonts w:ascii="宋体" w:hAnsi="宋体" w:cs="宋体"/>
                <w:bCs/>
                <w:sz w:val="24"/>
              </w:rPr>
            </w:pPr>
            <w:r>
              <w:rPr>
                <w:rFonts w:hint="eastAsia" w:ascii="宋体" w:hAnsi="宋体" w:cs="宋体"/>
                <w:b/>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农、林、牧、渔业</w:t>
            </w: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营业收入(Y)</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Y≥20000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500≤Y＜20000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50≤Y＜500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工业 *</w:t>
            </w: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从业人员(X)</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人</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X≥1000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300≤X＜1000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20≤X＜300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noWrap/>
            <w:vAlign w:val="center"/>
          </w:tcPr>
          <w:p>
            <w:pPr>
              <w:rPr>
                <w:rFonts w:ascii="宋体" w:hAnsi="宋体" w:cs="宋体"/>
                <w:bCs/>
                <w:sz w:val="24"/>
              </w:rPr>
            </w:pPr>
          </w:p>
        </w:tc>
        <w:tc>
          <w:tcPr>
            <w:tcW w:w="1281" w:type="dxa"/>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营业收入(Y)</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Y≥40000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2000≤Y＜40000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300≤Y＜2000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建筑业</w:t>
            </w: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营业收入(Y)</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Y≥80000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6000≤Y＜80000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300≤Y＜6000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noWrap/>
            <w:vAlign w:val="center"/>
          </w:tcPr>
          <w:p>
            <w:pPr>
              <w:rPr>
                <w:rFonts w:ascii="宋体" w:hAnsi="宋体" w:cs="宋体"/>
                <w:bCs/>
                <w:sz w:val="24"/>
              </w:rPr>
            </w:pPr>
          </w:p>
        </w:tc>
        <w:tc>
          <w:tcPr>
            <w:tcW w:w="1281" w:type="dxa"/>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资产总额(Z)</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Z≥80000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5000≤Z＜80000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300≤Z＜5000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批发业</w:t>
            </w: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从业人员(X)</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人</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X≥200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20≤X＜200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5≤X＜20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noWrap/>
            <w:vAlign w:val="center"/>
          </w:tcPr>
          <w:p>
            <w:pPr>
              <w:rPr>
                <w:rFonts w:ascii="宋体" w:hAnsi="宋体" w:cs="宋体"/>
                <w:bCs/>
                <w:sz w:val="24"/>
              </w:rPr>
            </w:pPr>
          </w:p>
        </w:tc>
        <w:tc>
          <w:tcPr>
            <w:tcW w:w="1281" w:type="dxa"/>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营业收入(Y)</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Y≥40000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5000≤Y＜40000</w:t>
            </w:r>
          </w:p>
        </w:tc>
        <w:tc>
          <w:tcPr>
            <w:tcW w:w="1315" w:type="dxa"/>
            <w:noWrap/>
            <w:tcMar>
              <w:top w:w="0" w:type="dxa"/>
              <w:left w:w="108" w:type="dxa"/>
              <w:bottom w:w="0" w:type="dxa"/>
              <w:right w:w="108" w:type="dxa"/>
            </w:tcMar>
            <w:vAlign w:val="center"/>
          </w:tcPr>
          <w:p>
            <w:pPr>
              <w:ind w:left="-1"/>
              <w:rPr>
                <w:rFonts w:ascii="宋体" w:hAnsi="宋体" w:cs="宋体"/>
                <w:bCs/>
                <w:sz w:val="24"/>
              </w:rPr>
            </w:pPr>
            <w:r>
              <w:rPr>
                <w:rFonts w:hint="eastAsia" w:ascii="宋体" w:hAnsi="宋体" w:cs="宋体"/>
                <w:sz w:val="18"/>
                <w:szCs w:val="18"/>
              </w:rPr>
              <w:t>1000≤Y＜5000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零售业</w:t>
            </w: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从业人员(X)</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人</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X≥300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50≤X＜300</w:t>
            </w:r>
          </w:p>
        </w:tc>
        <w:tc>
          <w:tcPr>
            <w:tcW w:w="1315" w:type="dxa"/>
            <w:noWrap/>
            <w:tcMar>
              <w:top w:w="0" w:type="dxa"/>
              <w:left w:w="108" w:type="dxa"/>
              <w:bottom w:w="0" w:type="dxa"/>
              <w:right w:w="108" w:type="dxa"/>
            </w:tcMar>
            <w:vAlign w:val="center"/>
          </w:tcPr>
          <w:p>
            <w:pPr>
              <w:ind w:left="-1"/>
              <w:rPr>
                <w:rFonts w:ascii="宋体" w:hAnsi="宋体" w:cs="宋体"/>
                <w:bCs/>
                <w:sz w:val="24"/>
              </w:rPr>
            </w:pPr>
            <w:r>
              <w:rPr>
                <w:rFonts w:hint="eastAsia" w:ascii="宋体" w:hAnsi="宋体" w:cs="宋体"/>
                <w:sz w:val="18"/>
                <w:szCs w:val="18"/>
              </w:rPr>
              <w:t>10≤X＜50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noWrap/>
            <w:vAlign w:val="center"/>
          </w:tcPr>
          <w:p>
            <w:pPr>
              <w:rPr>
                <w:rFonts w:ascii="宋体" w:hAnsi="宋体" w:cs="宋体"/>
                <w:bCs/>
                <w:sz w:val="24"/>
              </w:rPr>
            </w:pPr>
          </w:p>
        </w:tc>
        <w:tc>
          <w:tcPr>
            <w:tcW w:w="1281" w:type="dxa"/>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营业收入(Y)</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Y≥20000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500≤Y＜20000</w:t>
            </w:r>
          </w:p>
        </w:tc>
        <w:tc>
          <w:tcPr>
            <w:tcW w:w="1315" w:type="dxa"/>
            <w:noWrap/>
            <w:tcMar>
              <w:top w:w="0" w:type="dxa"/>
              <w:left w:w="108" w:type="dxa"/>
              <w:bottom w:w="0" w:type="dxa"/>
              <w:right w:w="108" w:type="dxa"/>
            </w:tcMar>
            <w:vAlign w:val="center"/>
          </w:tcPr>
          <w:p>
            <w:pPr>
              <w:ind w:left="-1"/>
              <w:rPr>
                <w:rFonts w:ascii="宋体" w:hAnsi="宋体" w:cs="宋体"/>
                <w:bCs/>
                <w:sz w:val="24"/>
              </w:rPr>
            </w:pPr>
            <w:r>
              <w:rPr>
                <w:rFonts w:hint="eastAsia" w:ascii="宋体" w:hAnsi="宋体" w:cs="宋体"/>
                <w:sz w:val="18"/>
                <w:szCs w:val="18"/>
              </w:rPr>
              <w:t>100≤Y＜500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交通运输业 *</w:t>
            </w: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从业人员(X)</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人</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X≥1000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300≤X＜1000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20≤X＜300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noWrap/>
            <w:vAlign w:val="center"/>
          </w:tcPr>
          <w:p>
            <w:pPr>
              <w:rPr>
                <w:rFonts w:ascii="宋体" w:hAnsi="宋体" w:cs="宋体"/>
                <w:bCs/>
                <w:sz w:val="24"/>
              </w:rPr>
            </w:pPr>
          </w:p>
        </w:tc>
        <w:tc>
          <w:tcPr>
            <w:tcW w:w="1281" w:type="dxa"/>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营业收入(Y)</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Y≥30000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3000≤Y＜30000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200≤Y＜3000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仓储业</w:t>
            </w: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从业人员(X)</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人</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X≥200</w:t>
            </w:r>
          </w:p>
        </w:tc>
        <w:tc>
          <w:tcPr>
            <w:tcW w:w="1491" w:type="dxa"/>
            <w:noWrap/>
            <w:tcMar>
              <w:top w:w="0" w:type="dxa"/>
              <w:left w:w="108" w:type="dxa"/>
              <w:bottom w:w="0" w:type="dxa"/>
              <w:right w:w="108" w:type="dxa"/>
            </w:tcMar>
            <w:vAlign w:val="center"/>
          </w:tcPr>
          <w:p>
            <w:pPr>
              <w:ind w:left="1"/>
              <w:rPr>
                <w:rFonts w:ascii="宋体" w:hAnsi="宋体" w:cs="宋体"/>
                <w:bCs/>
                <w:sz w:val="24"/>
              </w:rPr>
            </w:pPr>
            <w:r>
              <w:rPr>
                <w:rFonts w:hint="eastAsia" w:ascii="宋体" w:hAnsi="宋体" w:cs="宋体"/>
                <w:sz w:val="18"/>
                <w:szCs w:val="18"/>
              </w:rPr>
              <w:t>100≤X＜200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20≤X＜100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noWrap/>
            <w:vAlign w:val="center"/>
          </w:tcPr>
          <w:p>
            <w:pPr>
              <w:rPr>
                <w:rFonts w:ascii="宋体" w:hAnsi="宋体" w:cs="宋体"/>
                <w:bCs/>
                <w:sz w:val="24"/>
              </w:rPr>
            </w:pPr>
          </w:p>
        </w:tc>
        <w:tc>
          <w:tcPr>
            <w:tcW w:w="1281" w:type="dxa"/>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营业收入(Y)</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Y≥30000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1000≤Y＜30000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100≤Y＜1000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邮政业</w:t>
            </w: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从业人员(X)</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人</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X≥1000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300≤X＜1000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20≤X＜300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noWrap/>
            <w:vAlign w:val="center"/>
          </w:tcPr>
          <w:p>
            <w:pPr>
              <w:rPr>
                <w:rFonts w:ascii="宋体" w:hAnsi="宋体" w:cs="宋体"/>
                <w:bCs/>
                <w:sz w:val="24"/>
              </w:rPr>
            </w:pPr>
          </w:p>
        </w:tc>
        <w:tc>
          <w:tcPr>
            <w:tcW w:w="1281" w:type="dxa"/>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营业收入(Y)</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Y≥30000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2000≤Y＜30000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100≤Y＜2000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住宿业</w:t>
            </w: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从业人员(X)</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人</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X≥300</w:t>
            </w:r>
          </w:p>
        </w:tc>
        <w:tc>
          <w:tcPr>
            <w:tcW w:w="1491" w:type="dxa"/>
            <w:noWrap/>
            <w:tcMar>
              <w:top w:w="0" w:type="dxa"/>
              <w:left w:w="108" w:type="dxa"/>
              <w:bottom w:w="0" w:type="dxa"/>
              <w:right w:w="108" w:type="dxa"/>
            </w:tcMar>
            <w:vAlign w:val="center"/>
          </w:tcPr>
          <w:p>
            <w:pPr>
              <w:ind w:left="1"/>
              <w:rPr>
                <w:rFonts w:ascii="宋体" w:hAnsi="宋体" w:cs="宋体"/>
                <w:bCs/>
                <w:sz w:val="24"/>
              </w:rPr>
            </w:pPr>
            <w:r>
              <w:rPr>
                <w:rFonts w:hint="eastAsia" w:ascii="宋体" w:hAnsi="宋体" w:cs="宋体"/>
                <w:sz w:val="18"/>
                <w:szCs w:val="18"/>
              </w:rPr>
              <w:t>100≤X＜300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10≤X＜100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noWrap/>
            <w:vAlign w:val="center"/>
          </w:tcPr>
          <w:p>
            <w:pPr>
              <w:rPr>
                <w:rFonts w:ascii="宋体" w:hAnsi="宋体" w:cs="宋体"/>
                <w:bCs/>
                <w:sz w:val="24"/>
              </w:rPr>
            </w:pPr>
          </w:p>
        </w:tc>
        <w:tc>
          <w:tcPr>
            <w:tcW w:w="1281" w:type="dxa"/>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营业收入(Y)</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Y≥10000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2000≤Y＜10000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100≤Y＜2000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餐饮业</w:t>
            </w: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从业人员(X)</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人</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X≥300</w:t>
            </w:r>
          </w:p>
        </w:tc>
        <w:tc>
          <w:tcPr>
            <w:tcW w:w="1491" w:type="dxa"/>
            <w:noWrap/>
            <w:tcMar>
              <w:top w:w="0" w:type="dxa"/>
              <w:left w:w="108" w:type="dxa"/>
              <w:bottom w:w="0" w:type="dxa"/>
              <w:right w:w="108" w:type="dxa"/>
            </w:tcMar>
            <w:vAlign w:val="center"/>
          </w:tcPr>
          <w:p>
            <w:pPr>
              <w:ind w:left="1"/>
              <w:rPr>
                <w:rFonts w:ascii="宋体" w:hAnsi="宋体" w:cs="宋体"/>
                <w:bCs/>
                <w:sz w:val="24"/>
              </w:rPr>
            </w:pPr>
            <w:r>
              <w:rPr>
                <w:rFonts w:hint="eastAsia" w:ascii="宋体" w:hAnsi="宋体" w:cs="宋体"/>
                <w:sz w:val="18"/>
                <w:szCs w:val="18"/>
              </w:rPr>
              <w:t>100≤X＜300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10≤X＜100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noWrap/>
            <w:vAlign w:val="center"/>
          </w:tcPr>
          <w:p>
            <w:pPr>
              <w:rPr>
                <w:rFonts w:ascii="宋体" w:hAnsi="宋体" w:cs="宋体"/>
                <w:bCs/>
                <w:sz w:val="24"/>
              </w:rPr>
            </w:pPr>
          </w:p>
        </w:tc>
        <w:tc>
          <w:tcPr>
            <w:tcW w:w="1281" w:type="dxa"/>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营业收入(Y)</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Y≥10000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2000≤Y＜10000</w:t>
            </w:r>
          </w:p>
        </w:tc>
        <w:tc>
          <w:tcPr>
            <w:tcW w:w="1315" w:type="dxa"/>
            <w:noWrap/>
            <w:tcMar>
              <w:top w:w="0" w:type="dxa"/>
              <w:left w:w="108" w:type="dxa"/>
              <w:bottom w:w="0" w:type="dxa"/>
              <w:right w:w="108" w:type="dxa"/>
            </w:tcMar>
            <w:vAlign w:val="center"/>
          </w:tcPr>
          <w:p>
            <w:pPr>
              <w:ind w:firstLine="360"/>
              <w:jc w:val="center"/>
              <w:rPr>
                <w:rFonts w:ascii="宋体" w:hAnsi="宋体" w:cs="宋体"/>
                <w:bCs/>
                <w:sz w:val="24"/>
              </w:rPr>
            </w:pPr>
            <w:r>
              <w:rPr>
                <w:rFonts w:hint="eastAsia" w:ascii="宋体" w:hAnsi="宋体" w:cs="宋体"/>
                <w:sz w:val="18"/>
                <w:szCs w:val="18"/>
              </w:rPr>
              <w:t> 100≤Y＜2000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restart"/>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信息传输业 *</w:t>
            </w: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从业人员(X)</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人</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X≥2000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100≤X＜2000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10≤X＜100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vMerge w:val="continue"/>
            <w:noWrap/>
            <w:vAlign w:val="center"/>
          </w:tcPr>
          <w:p>
            <w:pPr>
              <w:rPr>
                <w:rFonts w:ascii="宋体" w:hAnsi="宋体" w:cs="宋体"/>
                <w:bCs/>
                <w:sz w:val="24"/>
              </w:rPr>
            </w:pPr>
          </w:p>
        </w:tc>
        <w:tc>
          <w:tcPr>
            <w:tcW w:w="1281" w:type="dxa"/>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营业收入(Y)</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Y≥100000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1000≤Y＜100000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100≤Y＜1000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restart"/>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pacing w:val="-12"/>
                <w:sz w:val="18"/>
                <w:szCs w:val="18"/>
              </w:rPr>
              <w:t>软件和信息技术服</w:t>
            </w:r>
            <w:r>
              <w:rPr>
                <w:rFonts w:hint="eastAsia" w:ascii="宋体" w:hAnsi="宋体" w:cs="宋体"/>
                <w:sz w:val="18"/>
                <w:szCs w:val="18"/>
              </w:rPr>
              <w:t>务业</w:t>
            </w: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从业人员(X)</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人</w:t>
            </w:r>
          </w:p>
        </w:tc>
        <w:tc>
          <w:tcPr>
            <w:tcW w:w="993" w:type="dxa"/>
            <w:noWrap/>
            <w:tcMar>
              <w:top w:w="0" w:type="dxa"/>
              <w:left w:w="108" w:type="dxa"/>
              <w:bottom w:w="0" w:type="dxa"/>
              <w:right w:w="108" w:type="dxa"/>
            </w:tcMar>
            <w:vAlign w:val="center"/>
          </w:tcPr>
          <w:p>
            <w:pPr>
              <w:ind w:firstLine="360"/>
              <w:jc w:val="center"/>
              <w:rPr>
                <w:rFonts w:ascii="宋体" w:hAnsi="宋体" w:cs="宋体"/>
                <w:bCs/>
                <w:sz w:val="24"/>
              </w:rPr>
            </w:pPr>
            <w:r>
              <w:rPr>
                <w:rFonts w:hint="eastAsia" w:ascii="宋体" w:hAnsi="宋体" w:cs="宋体"/>
                <w:sz w:val="18"/>
                <w:szCs w:val="18"/>
              </w:rPr>
              <w:t>X≥300</w:t>
            </w:r>
          </w:p>
        </w:tc>
        <w:tc>
          <w:tcPr>
            <w:tcW w:w="1491" w:type="dxa"/>
            <w:noWrap/>
            <w:tcMar>
              <w:top w:w="0" w:type="dxa"/>
              <w:left w:w="108" w:type="dxa"/>
              <w:bottom w:w="0" w:type="dxa"/>
              <w:right w:w="108" w:type="dxa"/>
            </w:tcMar>
            <w:vAlign w:val="center"/>
          </w:tcPr>
          <w:p>
            <w:pPr>
              <w:ind w:left="1" w:firstLine="360"/>
              <w:jc w:val="center"/>
              <w:rPr>
                <w:rFonts w:ascii="宋体" w:hAnsi="宋体" w:cs="宋体"/>
                <w:bCs/>
                <w:sz w:val="24"/>
              </w:rPr>
            </w:pPr>
            <w:r>
              <w:rPr>
                <w:rFonts w:hint="eastAsia" w:ascii="宋体" w:hAnsi="宋体" w:cs="宋体"/>
                <w:sz w:val="18"/>
                <w:szCs w:val="18"/>
              </w:rPr>
              <w:t>100≤X＜300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10≤X＜100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continue"/>
            <w:noWrap/>
            <w:vAlign w:val="center"/>
          </w:tcPr>
          <w:p>
            <w:pPr>
              <w:rPr>
                <w:rFonts w:ascii="宋体" w:hAnsi="宋体" w:cs="宋体"/>
                <w:bCs/>
                <w:sz w:val="24"/>
              </w:rPr>
            </w:pP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营业收入(Y)</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ind w:firstLine="360"/>
              <w:jc w:val="center"/>
              <w:rPr>
                <w:rFonts w:ascii="宋体" w:hAnsi="宋体" w:cs="宋体"/>
                <w:bCs/>
                <w:sz w:val="24"/>
              </w:rPr>
            </w:pPr>
            <w:r>
              <w:rPr>
                <w:rFonts w:hint="eastAsia" w:ascii="宋体" w:hAnsi="宋体" w:cs="宋体"/>
                <w:sz w:val="18"/>
                <w:szCs w:val="18"/>
              </w:rPr>
              <w:t>Y≥10000</w:t>
            </w:r>
          </w:p>
        </w:tc>
        <w:tc>
          <w:tcPr>
            <w:tcW w:w="1491" w:type="dxa"/>
            <w:noWrap/>
            <w:tcMar>
              <w:top w:w="0" w:type="dxa"/>
              <w:left w:w="108" w:type="dxa"/>
              <w:bottom w:w="0" w:type="dxa"/>
              <w:right w:w="108" w:type="dxa"/>
            </w:tcMar>
            <w:vAlign w:val="center"/>
          </w:tcPr>
          <w:p>
            <w:pPr>
              <w:ind w:firstLine="360"/>
              <w:jc w:val="center"/>
              <w:rPr>
                <w:rFonts w:ascii="宋体" w:hAnsi="宋体" w:cs="宋体"/>
                <w:bCs/>
                <w:sz w:val="24"/>
              </w:rPr>
            </w:pPr>
            <w:r>
              <w:rPr>
                <w:rFonts w:hint="eastAsia" w:ascii="宋体" w:hAnsi="宋体" w:cs="宋体"/>
                <w:sz w:val="18"/>
                <w:szCs w:val="18"/>
              </w:rPr>
              <w:t>1000≤Y＜10000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50≤Y＜1000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restart"/>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房地产开发经营</w:t>
            </w: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营业收入(Y)</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Y≥200000</w:t>
            </w:r>
          </w:p>
        </w:tc>
        <w:tc>
          <w:tcPr>
            <w:tcW w:w="1491" w:type="dxa"/>
            <w:noWrap/>
            <w:tcMar>
              <w:top w:w="0" w:type="dxa"/>
              <w:left w:w="108" w:type="dxa"/>
              <w:bottom w:w="0" w:type="dxa"/>
              <w:right w:w="108" w:type="dxa"/>
            </w:tcMar>
            <w:vAlign w:val="center"/>
          </w:tcPr>
          <w:p>
            <w:pPr>
              <w:ind w:firstLine="360"/>
              <w:jc w:val="center"/>
              <w:rPr>
                <w:rFonts w:ascii="宋体" w:hAnsi="宋体" w:cs="宋体"/>
                <w:bCs/>
                <w:sz w:val="24"/>
              </w:rPr>
            </w:pPr>
            <w:r>
              <w:rPr>
                <w:rFonts w:hint="eastAsia" w:ascii="宋体" w:hAnsi="宋体" w:cs="宋体"/>
                <w:sz w:val="18"/>
                <w:szCs w:val="18"/>
              </w:rPr>
              <w:t> 1000≤Y＜200000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100≤Y＜1000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continue"/>
            <w:noWrap/>
            <w:vAlign w:val="center"/>
          </w:tcPr>
          <w:p>
            <w:pPr>
              <w:rPr>
                <w:rFonts w:ascii="宋体" w:hAnsi="宋体" w:cs="宋体"/>
                <w:bCs/>
                <w:sz w:val="24"/>
              </w:rPr>
            </w:pPr>
          </w:p>
        </w:tc>
        <w:tc>
          <w:tcPr>
            <w:tcW w:w="1281" w:type="dxa"/>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资产总额(Z)</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Z≥10000</w:t>
            </w:r>
          </w:p>
        </w:tc>
        <w:tc>
          <w:tcPr>
            <w:tcW w:w="1491" w:type="dxa"/>
            <w:noWrap/>
            <w:tcMar>
              <w:top w:w="0" w:type="dxa"/>
              <w:left w:w="108" w:type="dxa"/>
              <w:bottom w:w="0" w:type="dxa"/>
              <w:right w:w="108" w:type="dxa"/>
            </w:tcMar>
            <w:vAlign w:val="center"/>
          </w:tcPr>
          <w:p>
            <w:pPr>
              <w:ind w:firstLine="360"/>
              <w:jc w:val="center"/>
              <w:rPr>
                <w:rFonts w:ascii="宋体" w:hAnsi="宋体" w:cs="宋体"/>
                <w:bCs/>
                <w:sz w:val="24"/>
              </w:rPr>
            </w:pPr>
            <w:r>
              <w:rPr>
                <w:rFonts w:hint="eastAsia" w:ascii="宋体" w:hAnsi="宋体" w:cs="宋体"/>
                <w:sz w:val="18"/>
                <w:szCs w:val="18"/>
              </w:rPr>
              <w:t>5000≤Z＜10000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2000≤Z＜5000  </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restart"/>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物业管理</w:t>
            </w: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从业人员(X)</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人</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X≥1000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300≤X＜1000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100≤X＜300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continue"/>
            <w:noWrap/>
            <w:vAlign w:val="center"/>
          </w:tcPr>
          <w:p>
            <w:pPr>
              <w:rPr>
                <w:rFonts w:ascii="宋体" w:hAnsi="宋体" w:cs="宋体"/>
                <w:bCs/>
                <w:sz w:val="24"/>
              </w:rPr>
            </w:pPr>
          </w:p>
        </w:tc>
        <w:tc>
          <w:tcPr>
            <w:tcW w:w="1281" w:type="dxa"/>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营业收入(Y)</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Y≥5000</w:t>
            </w:r>
          </w:p>
        </w:tc>
        <w:tc>
          <w:tcPr>
            <w:tcW w:w="1491" w:type="dxa"/>
            <w:noWrap/>
            <w:tcMar>
              <w:top w:w="0" w:type="dxa"/>
              <w:left w:w="108" w:type="dxa"/>
              <w:bottom w:w="0" w:type="dxa"/>
              <w:right w:w="108" w:type="dxa"/>
            </w:tcMar>
            <w:vAlign w:val="center"/>
          </w:tcPr>
          <w:p>
            <w:pPr>
              <w:ind w:left="1"/>
              <w:rPr>
                <w:rFonts w:ascii="宋体" w:hAnsi="宋体" w:cs="宋体"/>
                <w:bCs/>
                <w:sz w:val="24"/>
              </w:rPr>
            </w:pPr>
            <w:r>
              <w:rPr>
                <w:rFonts w:hint="eastAsia" w:ascii="宋体" w:hAnsi="宋体" w:cs="宋体"/>
                <w:sz w:val="18"/>
                <w:szCs w:val="18"/>
              </w:rPr>
              <w:t>1000≤Y＜5000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500≤Y＜1000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restart"/>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租赁和商务服务业</w:t>
            </w: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从业人员(X)</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人</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X≥300</w:t>
            </w:r>
          </w:p>
        </w:tc>
        <w:tc>
          <w:tcPr>
            <w:tcW w:w="1491" w:type="dxa"/>
            <w:noWrap/>
            <w:tcMar>
              <w:top w:w="0" w:type="dxa"/>
              <w:left w:w="108" w:type="dxa"/>
              <w:bottom w:w="0" w:type="dxa"/>
              <w:right w:w="108" w:type="dxa"/>
            </w:tcMar>
            <w:vAlign w:val="center"/>
          </w:tcPr>
          <w:p>
            <w:pPr>
              <w:ind w:left="1"/>
              <w:rPr>
                <w:rFonts w:ascii="宋体" w:hAnsi="宋体" w:cs="宋体"/>
                <w:bCs/>
                <w:sz w:val="24"/>
              </w:rPr>
            </w:pPr>
            <w:r>
              <w:rPr>
                <w:rFonts w:hint="eastAsia" w:ascii="宋体" w:hAnsi="宋体" w:cs="宋体"/>
                <w:sz w:val="18"/>
                <w:szCs w:val="18"/>
              </w:rPr>
              <w:t>100≤X＜300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10≤X＜100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60" w:type="dxa"/>
            <w:vMerge w:val="continue"/>
            <w:noWrap/>
            <w:vAlign w:val="center"/>
          </w:tcPr>
          <w:p>
            <w:pPr>
              <w:rPr>
                <w:rFonts w:ascii="宋体" w:hAnsi="宋体" w:cs="宋体"/>
                <w:bCs/>
                <w:sz w:val="24"/>
              </w:rPr>
            </w:pPr>
          </w:p>
        </w:tc>
        <w:tc>
          <w:tcPr>
            <w:tcW w:w="1281" w:type="dxa"/>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资产总额(Z)</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万元</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Z≥120000</w:t>
            </w:r>
          </w:p>
        </w:tc>
        <w:tc>
          <w:tcPr>
            <w:tcW w:w="149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8000≤Z＜120000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100≤Z＜8000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60" w:type="dxa"/>
            <w:noWrap/>
            <w:tcMar>
              <w:top w:w="0" w:type="dxa"/>
              <w:left w:w="108" w:type="dxa"/>
              <w:bottom w:w="0" w:type="dxa"/>
              <w:right w:w="108" w:type="dxa"/>
            </w:tcMar>
            <w:vAlign w:val="center"/>
          </w:tcPr>
          <w:p>
            <w:pPr>
              <w:spacing w:line="240" w:lineRule="atLeast"/>
              <w:rPr>
                <w:rFonts w:ascii="宋体" w:hAnsi="宋体" w:cs="宋体"/>
                <w:bCs/>
                <w:sz w:val="24"/>
              </w:rPr>
            </w:pPr>
            <w:r>
              <w:rPr>
                <w:rFonts w:hint="eastAsia" w:ascii="宋体" w:hAnsi="宋体" w:cs="宋体"/>
                <w:sz w:val="18"/>
                <w:szCs w:val="18"/>
              </w:rPr>
              <w:t>其他未列明行业 *</w:t>
            </w:r>
          </w:p>
        </w:tc>
        <w:tc>
          <w:tcPr>
            <w:tcW w:w="1281"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从业人员(X)</w:t>
            </w:r>
          </w:p>
        </w:tc>
        <w:tc>
          <w:tcPr>
            <w:tcW w:w="75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人</w:t>
            </w:r>
          </w:p>
        </w:tc>
        <w:tc>
          <w:tcPr>
            <w:tcW w:w="993"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X≥300</w:t>
            </w:r>
          </w:p>
        </w:tc>
        <w:tc>
          <w:tcPr>
            <w:tcW w:w="1491" w:type="dxa"/>
            <w:noWrap/>
            <w:tcMar>
              <w:top w:w="0" w:type="dxa"/>
              <w:left w:w="108" w:type="dxa"/>
              <w:bottom w:w="0" w:type="dxa"/>
              <w:right w:w="108" w:type="dxa"/>
            </w:tcMar>
            <w:vAlign w:val="center"/>
          </w:tcPr>
          <w:p>
            <w:pPr>
              <w:ind w:left="1"/>
              <w:rPr>
                <w:rFonts w:ascii="宋体" w:hAnsi="宋体" w:cs="宋体"/>
                <w:bCs/>
                <w:sz w:val="24"/>
              </w:rPr>
            </w:pPr>
            <w:r>
              <w:rPr>
                <w:rFonts w:hint="eastAsia" w:ascii="宋体" w:hAnsi="宋体" w:cs="宋体"/>
                <w:sz w:val="18"/>
                <w:szCs w:val="18"/>
              </w:rPr>
              <w:t>100≤X＜300</w:t>
            </w:r>
          </w:p>
        </w:tc>
        <w:tc>
          <w:tcPr>
            <w:tcW w:w="1315"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10≤X＜100</w:t>
            </w:r>
          </w:p>
        </w:tc>
        <w:tc>
          <w:tcPr>
            <w:tcW w:w="908" w:type="dxa"/>
            <w:noWrap/>
            <w:tcMar>
              <w:top w:w="0" w:type="dxa"/>
              <w:left w:w="108" w:type="dxa"/>
              <w:bottom w:w="0" w:type="dxa"/>
              <w:right w:w="108" w:type="dxa"/>
            </w:tcMar>
            <w:vAlign w:val="center"/>
          </w:tcPr>
          <w:p>
            <w:pPr>
              <w:rPr>
                <w:rFonts w:ascii="宋体" w:hAnsi="宋体" w:cs="宋体"/>
                <w:bCs/>
                <w:sz w:val="24"/>
              </w:rPr>
            </w:pPr>
            <w:r>
              <w:rPr>
                <w:rFonts w:hint="eastAsia" w:ascii="宋体" w:hAnsi="宋体" w:cs="宋体"/>
                <w:sz w:val="18"/>
                <w:szCs w:val="18"/>
              </w:rPr>
              <w:t>X＜10</w:t>
            </w:r>
          </w:p>
        </w:tc>
      </w:tr>
    </w:tbl>
    <w:p>
      <w:pPr>
        <w:shd w:val="clear" w:color="auto" w:fill="FFFFFF"/>
        <w:spacing w:line="375" w:lineRule="atLeast"/>
        <w:rPr>
          <w:rFonts w:ascii="微软雅黑" w:hAnsi="微软雅黑" w:cs="宋体"/>
          <w:bCs/>
          <w:szCs w:val="21"/>
        </w:rPr>
      </w:pPr>
      <w:r>
        <w:rPr>
          <w:rFonts w:hint="eastAsia" w:ascii="宋体" w:hAnsi="宋体" w:cs="宋体"/>
          <w:sz w:val="18"/>
          <w:szCs w:val="18"/>
        </w:rPr>
        <w:t> </w:t>
      </w:r>
      <w:r>
        <w:rPr>
          <w:rFonts w:hint="eastAsia" w:ascii="宋体" w:hAnsi="宋体" w:cs="宋体"/>
          <w:spacing w:val="8"/>
          <w:sz w:val="24"/>
        </w:rPr>
        <w:t>　</w:t>
      </w:r>
      <w:r>
        <w:rPr>
          <w:rFonts w:hint="eastAsia" w:ascii="微软雅黑" w:hAnsi="微软雅黑" w:cs="宋体"/>
          <w:spacing w:val="8"/>
          <w:szCs w:val="21"/>
        </w:rPr>
        <w:t>　说明：</w:t>
      </w:r>
    </w:p>
    <w:p>
      <w:pPr>
        <w:shd w:val="clear" w:color="auto" w:fill="FFFFFF"/>
        <w:spacing w:line="330" w:lineRule="atLeast"/>
        <w:rPr>
          <w:rFonts w:ascii="微软雅黑" w:hAnsi="微软雅黑" w:cs="宋体"/>
          <w:bCs/>
          <w:szCs w:val="21"/>
        </w:rPr>
      </w:pPr>
      <w:r>
        <w:rPr>
          <w:rFonts w:ascii="微软雅黑" w:hAnsi="微软雅黑"/>
          <w:spacing w:val="8"/>
          <w:szCs w:val="21"/>
        </w:rPr>
        <w:t> </w:t>
      </w:r>
      <w:r>
        <w:rPr>
          <w:rFonts w:hint="eastAsia" w:ascii="微软雅黑" w:hAnsi="微软雅黑" w:cs="宋体"/>
          <w:spacing w:val="8"/>
          <w:szCs w:val="21"/>
        </w:rPr>
        <w:t>　　</w:t>
      </w:r>
      <w:r>
        <w:rPr>
          <w:rFonts w:ascii="微软雅黑" w:hAnsi="微软雅黑"/>
          <w:spacing w:val="8"/>
          <w:szCs w:val="21"/>
        </w:rPr>
        <w:t>1.</w:t>
      </w:r>
      <w:r>
        <w:rPr>
          <w:rFonts w:hint="eastAsia" w:ascii="微软雅黑" w:hAnsi="微软雅黑" w:cs="宋体"/>
          <w:spacing w:val="8"/>
          <w:szCs w:val="21"/>
        </w:rPr>
        <w:t>大型、中型和小型企业须同时满足所列指标的下限，否则下划一档；微型企业只须满足所列指标中的一项即可。</w:t>
      </w:r>
    </w:p>
    <w:p>
      <w:pPr>
        <w:shd w:val="clear" w:color="auto" w:fill="FFFFFF"/>
        <w:spacing w:line="330" w:lineRule="atLeast"/>
        <w:rPr>
          <w:rFonts w:ascii="微软雅黑" w:hAnsi="微软雅黑" w:cs="宋体"/>
          <w:bCs/>
          <w:szCs w:val="21"/>
        </w:rPr>
      </w:pPr>
      <w:r>
        <w:rPr>
          <w:rFonts w:ascii="微软雅黑" w:hAnsi="微软雅黑"/>
          <w:spacing w:val="8"/>
          <w:szCs w:val="21"/>
        </w:rPr>
        <w:t> </w:t>
      </w:r>
      <w:r>
        <w:rPr>
          <w:rFonts w:hint="eastAsia" w:ascii="微软雅黑" w:hAnsi="微软雅黑" w:cs="宋体"/>
          <w:spacing w:val="8"/>
          <w:szCs w:val="21"/>
        </w:rPr>
        <w:t>　　</w:t>
      </w:r>
      <w:r>
        <w:rPr>
          <w:rFonts w:ascii="微软雅黑" w:hAnsi="微软雅黑"/>
          <w:spacing w:val="8"/>
          <w:szCs w:val="21"/>
        </w:rPr>
        <w:t>2.</w:t>
      </w:r>
      <w:r>
        <w:rPr>
          <w:rFonts w:hint="eastAsia" w:ascii="微软雅黑" w:hAnsi="微软雅黑" w:cs="宋体"/>
          <w:spacing w:val="8"/>
          <w:szCs w:val="21"/>
        </w:rPr>
        <w:t>附表中各行业的范围以《国民经济行业分类》（</w:t>
      </w:r>
      <w:r>
        <w:rPr>
          <w:rFonts w:ascii="微软雅黑" w:hAnsi="微软雅黑"/>
          <w:spacing w:val="8"/>
          <w:szCs w:val="21"/>
        </w:rPr>
        <w:t>GB/T4754-2011</w:t>
      </w:r>
      <w:r>
        <w:rPr>
          <w:rFonts w:hint="eastAsia" w:ascii="微软雅黑" w:hAnsi="微软雅黑" w:cs="宋体"/>
          <w:spacing w:val="8"/>
          <w:szCs w:val="21"/>
        </w:rPr>
        <w:t>）为准。带</w:t>
      </w:r>
      <w:r>
        <w:rPr>
          <w:rFonts w:ascii="微软雅黑" w:hAnsi="微软雅黑"/>
          <w:spacing w:val="8"/>
          <w:szCs w:val="21"/>
        </w:rPr>
        <w:t>*</w:t>
      </w:r>
      <w:r>
        <w:rPr>
          <w:rFonts w:hint="eastAsia" w:ascii="微软雅黑" w:hAnsi="微软雅黑" w:cs="宋体"/>
          <w:spacing w:val="8"/>
          <w:szCs w:val="21"/>
        </w:rPr>
        <w:t>的项为行业组合类别，其中，工业包括采矿业，制造业，电力、热力、燃气及水生产和供应业；交通运输业包括道路运输业，水上运输业，航空运输业，管道运输业，装卸搬运和运输代理业，不包括铁路运输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hd w:val="clear" w:color="auto" w:fill="FFFFFF"/>
        <w:spacing w:line="330" w:lineRule="atLeast"/>
        <w:rPr>
          <w:rFonts w:ascii="微软雅黑" w:hAnsi="微软雅黑" w:cs="宋体"/>
          <w:bCs/>
          <w:szCs w:val="21"/>
        </w:rPr>
      </w:pPr>
      <w:r>
        <w:rPr>
          <w:rFonts w:ascii="微软雅黑" w:hAnsi="微软雅黑"/>
          <w:spacing w:val="8"/>
          <w:szCs w:val="21"/>
        </w:rPr>
        <w:t> </w:t>
      </w:r>
      <w:r>
        <w:rPr>
          <w:rFonts w:hint="eastAsia" w:ascii="微软雅黑" w:hAnsi="微软雅黑" w:cs="宋体"/>
          <w:spacing w:val="8"/>
          <w:szCs w:val="21"/>
        </w:rPr>
        <w:t>　　</w:t>
      </w:r>
      <w:r>
        <w:rPr>
          <w:rFonts w:ascii="微软雅黑" w:hAnsi="微软雅黑"/>
          <w:spacing w:val="8"/>
          <w:szCs w:val="21"/>
        </w:rPr>
        <w:t>3.</w:t>
      </w:r>
      <w:r>
        <w:rPr>
          <w:rFonts w:hint="eastAsia" w:ascii="微软雅黑" w:hAnsi="微软雅黑" w:cs="宋体"/>
          <w:spacing w:val="8"/>
          <w:szCs w:val="21"/>
        </w:rPr>
        <w:t>企业划分指标以现行统计制度为准。（</w:t>
      </w:r>
      <w:r>
        <w:rPr>
          <w:rFonts w:ascii="微软雅黑" w:hAnsi="微软雅黑"/>
          <w:spacing w:val="8"/>
          <w:szCs w:val="21"/>
        </w:rPr>
        <w:t>1</w:t>
      </w:r>
      <w:r>
        <w:rPr>
          <w:rFonts w:hint="eastAsia" w:ascii="微软雅黑" w:hAnsi="微软雅黑" w:cs="宋体"/>
          <w:spacing w:val="8"/>
          <w:szCs w:val="21"/>
        </w:rPr>
        <w:t>）从业人员，是指期末从业人员数，没有期末从业人员数的，采用全年平均人员数代替。（</w:t>
      </w:r>
      <w:r>
        <w:rPr>
          <w:rFonts w:ascii="微软雅黑" w:hAnsi="微软雅黑"/>
          <w:spacing w:val="8"/>
          <w:szCs w:val="21"/>
        </w:rPr>
        <w:t>2</w:t>
      </w:r>
      <w:r>
        <w:rPr>
          <w:rFonts w:hint="eastAsia" w:ascii="微软雅黑" w:hAnsi="微软雅黑" w:cs="宋体"/>
          <w:spacing w:val="8"/>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微软雅黑" w:hAnsi="微软雅黑"/>
          <w:spacing w:val="8"/>
          <w:szCs w:val="21"/>
        </w:rPr>
        <w:t>3</w:t>
      </w:r>
      <w:r>
        <w:rPr>
          <w:rFonts w:hint="eastAsia" w:ascii="微软雅黑" w:hAnsi="微软雅黑" w:cs="宋体"/>
          <w:spacing w:val="8"/>
          <w:szCs w:val="21"/>
        </w:rPr>
        <w:t>）资产总额，采用资产总计代替。</w:t>
      </w:r>
    </w:p>
    <w:p>
      <w:pPr>
        <w:pStyle w:val="34"/>
        <w:snapToGrid w:val="0"/>
        <w:ind w:firstLine="420"/>
        <w:rPr>
          <w:rFonts w:ascii="微软雅黑" w:hAnsi="微软雅黑"/>
        </w:rPr>
      </w:pPr>
    </w:p>
    <w:p>
      <w:pPr>
        <w:spacing w:line="360" w:lineRule="auto"/>
        <w:rPr>
          <w:rFonts w:ascii="宋体" w:hAnsi="宋体" w:cs="宋体"/>
          <w:b/>
          <w:sz w:val="32"/>
          <w:szCs w:val="32"/>
        </w:rPr>
      </w:pPr>
    </w:p>
    <w:sectPr>
      <w:headerReference r:id="rId17" w:type="first"/>
      <w:footerReference r:id="rId20" w:type="first"/>
      <w:headerReference r:id="rId16" w:type="default"/>
      <w:footerReference r:id="rId18" w:type="default"/>
      <w:footerReference r:id="rId19" w:type="even"/>
      <w:pgSz w:w="11905" w:h="16838"/>
      <w:pgMar w:top="1474" w:right="1814" w:bottom="1474" w:left="1814"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auto"/>
    <w:pitch w:val="default"/>
    <w:sig w:usb0="00000000" w:usb1="00000000" w:usb2="00000000" w:usb3="00000000" w:csb0="0000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DengXian">
    <w:altName w:val="宋体"/>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B"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60</w:t>
    </w:r>
    <w:r>
      <w:rPr>
        <w:rFonts w:hint="eastAsia" w:ascii="仿宋_GB2312" w:eastAsia="仿宋_GB2312"/>
        <w:kern w:val="0"/>
        <w:szCs w:val="21"/>
      </w:rPr>
      <w:fldChar w:fldCharType="end"/>
    </w:r>
    <w:bookmarkStart w:id="549" w:name="_Toc131845147"/>
    <w:bookmarkStart w:id="550" w:name="_Toc91899912"/>
    <w:bookmarkStart w:id="551" w:name="_Toc36110187"/>
    <w:bookmarkStart w:id="552" w:name="_Toc164085800"/>
    <w:r>
      <w:rPr>
        <w:rFonts w:hint="eastAsia" w:ascii="仿宋_GB2312" w:eastAsia="仿宋_GB2312"/>
        <w:kern w:val="0"/>
        <w:szCs w:val="21"/>
      </w:rPr>
      <w:t xml:space="preserve"> 页</w:t>
    </w:r>
    <w:bookmarkEnd w:id="549"/>
    <w:bookmarkEnd w:id="550"/>
    <w:bookmarkEnd w:id="551"/>
    <w:bookmarkEnd w:id="552"/>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3"/>
      </w:rPr>
    </w:pPr>
    <w:r>
      <w:fldChar w:fldCharType="begin"/>
    </w:r>
    <w:r>
      <w:rPr>
        <w:rStyle w:val="73"/>
      </w:rPr>
      <w:instrText xml:space="preserve">PAGE  </w:instrText>
    </w:r>
    <w:r>
      <w:fldChar w:fldCharType="end"/>
    </w:r>
  </w:p>
  <w:p>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63</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63</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w:t>
    </w:r>
  </w:p>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3"/>
      </w:rPr>
    </w:pPr>
    <w:r>
      <w:fldChar w:fldCharType="begin"/>
    </w:r>
    <w:r>
      <w:rPr>
        <w:rStyle w:val="73"/>
      </w:rPr>
      <w:instrText xml:space="preserve">PAGE  </w:instrText>
    </w:r>
    <w:r>
      <w:fldChar w:fldCharType="end"/>
    </w:r>
  </w:p>
  <w:p>
    <w:pPr>
      <w:pStyle w:val="41"/>
      <w:ind w:right="360"/>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single" w:color="auto" w:sz="6" w:space="4"/>
      </w:pBdr>
      <w:jc w:val="right"/>
    </w:pPr>
    <w:r>
      <w:t>公开招标文件</w:t>
    </w:r>
  </w:p>
  <w:p>
    <w:pPr>
      <w:pStyle w:val="61"/>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rPr>
        <w:rFonts w:ascii="仿宋_GB2312" w:eastAsia="仿宋_GB2312"/>
        <w:b/>
        <w:i/>
        <w:u w:val="single"/>
      </w:rPr>
    </w:pPr>
    <w:r>
      <w:t> 公开招标文件</w:t>
    </w:r>
  </w:p>
  <w:p>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right"/>
    </w:pPr>
    <w:r>
      <w:t>公开招标文件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right"/>
      <w:rPr>
        <w:rFonts w:ascii="仿宋_GB2312" w:eastAsia="仿宋_GB2312"/>
        <w:b/>
        <w:i/>
        <w:u w:val="single"/>
      </w:rPr>
    </w:pPr>
    <w:r>
      <w:t>公开招标文件</w:t>
    </w:r>
  </w:p>
  <w:p>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right"/>
    </w:pPr>
    <w:r>
      <w:t>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right"/>
      <w:rPr>
        <w:rFonts w:ascii="仿宋_GB2312" w:eastAsia="仿宋_GB2312"/>
        <w:b/>
        <w:i/>
        <w:iCs/>
        <w:u w:val="single"/>
      </w:rPr>
    </w:pPr>
    <w:r>
      <w:t>公开招标文件</w:t>
    </w:r>
  </w:p>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t>公开招标文件</w:t>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8228F"/>
    <w:multiLevelType w:val="singleLevel"/>
    <w:tmpl w:val="0C78228F"/>
    <w:lvl w:ilvl="0" w:tentative="0">
      <w:start w:val="1"/>
      <w:numFmt w:val="decimal"/>
      <w:suff w:val="nothing"/>
      <w:lvlText w:val="（%1）"/>
      <w:lvlJc w:val="left"/>
    </w:lvl>
  </w:abstractNum>
  <w:abstractNum w:abstractNumId="1">
    <w:nsid w:val="23D1D62D"/>
    <w:multiLevelType w:val="singleLevel"/>
    <w:tmpl w:val="23D1D62D"/>
    <w:lvl w:ilvl="0" w:tentative="0">
      <w:start w:val="3"/>
      <w:numFmt w:val="chineseCounting"/>
      <w:suff w:val="space"/>
      <w:lvlText w:val="第%1部分"/>
      <w:lvlJc w:val="left"/>
      <w:rPr>
        <w:rFonts w:hint="eastAsia"/>
      </w:rPr>
    </w:lvl>
  </w:abstractNum>
  <w:abstractNum w:abstractNumId="2">
    <w:nsid w:val="4D835A34"/>
    <w:multiLevelType w:val="singleLevel"/>
    <w:tmpl w:val="4D835A34"/>
    <w:lvl w:ilvl="0" w:tentative="0">
      <w:start w:val="10"/>
      <w:numFmt w:val="chineseCounting"/>
      <w:suff w:val="nothing"/>
      <w:lvlText w:val="%1、"/>
      <w:lvlJc w:val="left"/>
      <w:rPr>
        <w:rFonts w:hint="eastAsia"/>
      </w:rPr>
    </w:lvl>
  </w:abstractNum>
  <w:abstractNum w:abstractNumId="3">
    <w:nsid w:val="4FA1B77A"/>
    <w:multiLevelType w:val="singleLevel"/>
    <w:tmpl w:val="4FA1B77A"/>
    <w:lvl w:ilvl="0" w:tentative="0">
      <w:start w:val="1"/>
      <w:numFmt w:val="chineseCounting"/>
      <w:suff w:val="space"/>
      <w:lvlText w:val="%1、"/>
      <w:lvlJc w:val="left"/>
      <w:pPr>
        <w:ind w:left="445" w:firstLine="0"/>
      </w:pPr>
      <w:rPr>
        <w:rFonts w:hint="eastAsia"/>
      </w:rPr>
    </w:lvl>
  </w:abstractNum>
  <w:abstractNum w:abstractNumId="4">
    <w:nsid w:val="55DB99F9"/>
    <w:multiLevelType w:val="singleLevel"/>
    <w:tmpl w:val="55DB99F9"/>
    <w:lvl w:ilvl="0" w:tentative="0">
      <w:start w:val="2"/>
      <w:numFmt w:val="decimal"/>
      <w:lvlText w:val="%1."/>
      <w:lvlJc w:val="left"/>
      <w:pPr>
        <w:tabs>
          <w:tab w:val="left" w:pos="312"/>
        </w:tabs>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I1MmZlMmMwNDEyOTNkZTA3ZDJhZDU5ODNiZjVhY2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1F94"/>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1C90"/>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695"/>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0B8D"/>
    <w:rsid w:val="00081671"/>
    <w:rsid w:val="00082AD4"/>
    <w:rsid w:val="00083E07"/>
    <w:rsid w:val="0008412C"/>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BF0"/>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3FE8"/>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235"/>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AF4"/>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568"/>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3829"/>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64F"/>
    <w:rsid w:val="0026470B"/>
    <w:rsid w:val="0026486D"/>
    <w:rsid w:val="00264C4B"/>
    <w:rsid w:val="00264E69"/>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BBD"/>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5F7A"/>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3FA"/>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0BFC"/>
    <w:rsid w:val="003213EB"/>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550"/>
    <w:rsid w:val="003519CD"/>
    <w:rsid w:val="00351A3A"/>
    <w:rsid w:val="0035455F"/>
    <w:rsid w:val="00355D75"/>
    <w:rsid w:val="00355D8F"/>
    <w:rsid w:val="00356A73"/>
    <w:rsid w:val="00356FF0"/>
    <w:rsid w:val="003577EF"/>
    <w:rsid w:val="00357A3A"/>
    <w:rsid w:val="00357A60"/>
    <w:rsid w:val="00360304"/>
    <w:rsid w:val="00360A78"/>
    <w:rsid w:val="00361750"/>
    <w:rsid w:val="00362D7D"/>
    <w:rsid w:val="00363894"/>
    <w:rsid w:val="00363B2A"/>
    <w:rsid w:val="00363BF1"/>
    <w:rsid w:val="003641C2"/>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181F"/>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C96"/>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236B"/>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49DF"/>
    <w:rsid w:val="00425341"/>
    <w:rsid w:val="004255FE"/>
    <w:rsid w:val="00425674"/>
    <w:rsid w:val="00425A82"/>
    <w:rsid w:val="00425C60"/>
    <w:rsid w:val="00426B2C"/>
    <w:rsid w:val="0042724D"/>
    <w:rsid w:val="00427FA8"/>
    <w:rsid w:val="0043009D"/>
    <w:rsid w:val="0043026B"/>
    <w:rsid w:val="00430299"/>
    <w:rsid w:val="004306D4"/>
    <w:rsid w:val="00431218"/>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4498"/>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A7998"/>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53"/>
    <w:rsid w:val="004E5380"/>
    <w:rsid w:val="004E62B6"/>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4F7FE3"/>
    <w:rsid w:val="0050079C"/>
    <w:rsid w:val="0050106A"/>
    <w:rsid w:val="005010BC"/>
    <w:rsid w:val="00501848"/>
    <w:rsid w:val="00502B31"/>
    <w:rsid w:val="0050434C"/>
    <w:rsid w:val="0050537D"/>
    <w:rsid w:val="00505428"/>
    <w:rsid w:val="00505861"/>
    <w:rsid w:val="0050591C"/>
    <w:rsid w:val="005059BD"/>
    <w:rsid w:val="005060AE"/>
    <w:rsid w:val="00506DE1"/>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781"/>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AD0"/>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13"/>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D89"/>
    <w:rsid w:val="005C5F77"/>
    <w:rsid w:val="005C6AAB"/>
    <w:rsid w:val="005C6D5D"/>
    <w:rsid w:val="005C6FD0"/>
    <w:rsid w:val="005D01C3"/>
    <w:rsid w:val="005D05FF"/>
    <w:rsid w:val="005D0FB4"/>
    <w:rsid w:val="005D1176"/>
    <w:rsid w:val="005D1402"/>
    <w:rsid w:val="005D1747"/>
    <w:rsid w:val="005D266D"/>
    <w:rsid w:val="005D306D"/>
    <w:rsid w:val="005D3327"/>
    <w:rsid w:val="005D4854"/>
    <w:rsid w:val="005D5BCF"/>
    <w:rsid w:val="005D5CA3"/>
    <w:rsid w:val="005D65BF"/>
    <w:rsid w:val="005D6D84"/>
    <w:rsid w:val="005D70A1"/>
    <w:rsid w:val="005D77BC"/>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0F65"/>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5E66"/>
    <w:rsid w:val="006160F0"/>
    <w:rsid w:val="0061618F"/>
    <w:rsid w:val="0061624B"/>
    <w:rsid w:val="006166AD"/>
    <w:rsid w:val="00616C1E"/>
    <w:rsid w:val="00617EFC"/>
    <w:rsid w:val="00620055"/>
    <w:rsid w:val="00620336"/>
    <w:rsid w:val="006204B3"/>
    <w:rsid w:val="006204C2"/>
    <w:rsid w:val="006212D3"/>
    <w:rsid w:val="00621639"/>
    <w:rsid w:val="00621A4A"/>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B84"/>
    <w:rsid w:val="006B6ED2"/>
    <w:rsid w:val="006B79A8"/>
    <w:rsid w:val="006B7F74"/>
    <w:rsid w:val="006C0230"/>
    <w:rsid w:val="006C05BE"/>
    <w:rsid w:val="006C05C7"/>
    <w:rsid w:val="006C06B3"/>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8C4"/>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BD2"/>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772"/>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666"/>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CF9"/>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97EAE"/>
    <w:rsid w:val="007A006C"/>
    <w:rsid w:val="007A05CF"/>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2BF"/>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0C0"/>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B44"/>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5702"/>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281"/>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6CD"/>
    <w:rsid w:val="0092077A"/>
    <w:rsid w:val="00920DC0"/>
    <w:rsid w:val="009219F3"/>
    <w:rsid w:val="009221CB"/>
    <w:rsid w:val="00922320"/>
    <w:rsid w:val="00923639"/>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2DB7"/>
    <w:rsid w:val="0093378F"/>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2C8"/>
    <w:rsid w:val="009F28DC"/>
    <w:rsid w:val="009F2E2B"/>
    <w:rsid w:val="009F2EDB"/>
    <w:rsid w:val="009F33DC"/>
    <w:rsid w:val="009F3572"/>
    <w:rsid w:val="009F3B27"/>
    <w:rsid w:val="009F4550"/>
    <w:rsid w:val="009F56C0"/>
    <w:rsid w:val="009F5C76"/>
    <w:rsid w:val="009F7CE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217"/>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3DC3"/>
    <w:rsid w:val="00AE4546"/>
    <w:rsid w:val="00AE58BB"/>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03"/>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3CF"/>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9EE"/>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82F"/>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0AC5"/>
    <w:rsid w:val="00C50E5C"/>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5F0"/>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154"/>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B4D"/>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01B"/>
    <w:rsid w:val="00D35F2F"/>
    <w:rsid w:val="00D35FC6"/>
    <w:rsid w:val="00D36BB8"/>
    <w:rsid w:val="00D377D4"/>
    <w:rsid w:val="00D37BD1"/>
    <w:rsid w:val="00D401A1"/>
    <w:rsid w:val="00D40217"/>
    <w:rsid w:val="00D40385"/>
    <w:rsid w:val="00D404CE"/>
    <w:rsid w:val="00D40E8F"/>
    <w:rsid w:val="00D412BF"/>
    <w:rsid w:val="00D417C6"/>
    <w:rsid w:val="00D417D0"/>
    <w:rsid w:val="00D42B0C"/>
    <w:rsid w:val="00D42D6E"/>
    <w:rsid w:val="00D43DEF"/>
    <w:rsid w:val="00D44259"/>
    <w:rsid w:val="00D45A8C"/>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356"/>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2BC1"/>
    <w:rsid w:val="00E0356F"/>
    <w:rsid w:val="00E03B42"/>
    <w:rsid w:val="00E03C10"/>
    <w:rsid w:val="00E03D3F"/>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401"/>
    <w:rsid w:val="00E34A2F"/>
    <w:rsid w:val="00E35A45"/>
    <w:rsid w:val="00E35F7F"/>
    <w:rsid w:val="00E36392"/>
    <w:rsid w:val="00E36B32"/>
    <w:rsid w:val="00E37A6F"/>
    <w:rsid w:val="00E37A9C"/>
    <w:rsid w:val="00E37EA9"/>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566"/>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1EE"/>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477F"/>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5DD3"/>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5D1"/>
    <w:rsid w:val="00FE1852"/>
    <w:rsid w:val="00FE1963"/>
    <w:rsid w:val="00FE1981"/>
    <w:rsid w:val="00FE1BF1"/>
    <w:rsid w:val="00FE1FA5"/>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0B1261"/>
    <w:rsid w:val="010D6029"/>
    <w:rsid w:val="01141165"/>
    <w:rsid w:val="011F6449"/>
    <w:rsid w:val="01236AFB"/>
    <w:rsid w:val="01260E98"/>
    <w:rsid w:val="014F219D"/>
    <w:rsid w:val="01521C8D"/>
    <w:rsid w:val="018E53BB"/>
    <w:rsid w:val="019F7441"/>
    <w:rsid w:val="01AA5738"/>
    <w:rsid w:val="01AF0E8E"/>
    <w:rsid w:val="01B37585"/>
    <w:rsid w:val="01D55165"/>
    <w:rsid w:val="01DF6BF8"/>
    <w:rsid w:val="01EC2C57"/>
    <w:rsid w:val="02104487"/>
    <w:rsid w:val="025657AD"/>
    <w:rsid w:val="025F0711"/>
    <w:rsid w:val="026B2E25"/>
    <w:rsid w:val="026C4FD1"/>
    <w:rsid w:val="02824D4D"/>
    <w:rsid w:val="028E3199"/>
    <w:rsid w:val="02DC4B10"/>
    <w:rsid w:val="02DD76CE"/>
    <w:rsid w:val="02E64D83"/>
    <w:rsid w:val="02F36323"/>
    <w:rsid w:val="02F5619C"/>
    <w:rsid w:val="0326446A"/>
    <w:rsid w:val="032D5555"/>
    <w:rsid w:val="036634D2"/>
    <w:rsid w:val="03901909"/>
    <w:rsid w:val="03DD35E4"/>
    <w:rsid w:val="04015870"/>
    <w:rsid w:val="04076900"/>
    <w:rsid w:val="04114082"/>
    <w:rsid w:val="041A5A3B"/>
    <w:rsid w:val="042311BA"/>
    <w:rsid w:val="042B157A"/>
    <w:rsid w:val="042E69E2"/>
    <w:rsid w:val="046E5030"/>
    <w:rsid w:val="04762137"/>
    <w:rsid w:val="048F763B"/>
    <w:rsid w:val="049F330E"/>
    <w:rsid w:val="04AA775C"/>
    <w:rsid w:val="04AF1889"/>
    <w:rsid w:val="04D255BF"/>
    <w:rsid w:val="04D31337"/>
    <w:rsid w:val="04F66F48"/>
    <w:rsid w:val="05251E14"/>
    <w:rsid w:val="05300538"/>
    <w:rsid w:val="053578FC"/>
    <w:rsid w:val="05816F08"/>
    <w:rsid w:val="058700D1"/>
    <w:rsid w:val="05A16594"/>
    <w:rsid w:val="05A7762D"/>
    <w:rsid w:val="05B81D48"/>
    <w:rsid w:val="05CF1AFF"/>
    <w:rsid w:val="05E5385C"/>
    <w:rsid w:val="05F41C2F"/>
    <w:rsid w:val="05FD48BE"/>
    <w:rsid w:val="060E5941"/>
    <w:rsid w:val="06110FAF"/>
    <w:rsid w:val="064047AA"/>
    <w:rsid w:val="06493CA7"/>
    <w:rsid w:val="065A6178"/>
    <w:rsid w:val="065B3392"/>
    <w:rsid w:val="06641DF2"/>
    <w:rsid w:val="066F1CF3"/>
    <w:rsid w:val="066F5090"/>
    <w:rsid w:val="067A7CBC"/>
    <w:rsid w:val="06824DC3"/>
    <w:rsid w:val="0687687D"/>
    <w:rsid w:val="068E7B23"/>
    <w:rsid w:val="06930BB8"/>
    <w:rsid w:val="069A088E"/>
    <w:rsid w:val="069F7F76"/>
    <w:rsid w:val="06DF3FC3"/>
    <w:rsid w:val="06E17D3B"/>
    <w:rsid w:val="06F35CC1"/>
    <w:rsid w:val="070B300A"/>
    <w:rsid w:val="07245D42"/>
    <w:rsid w:val="07264C62"/>
    <w:rsid w:val="07656A1B"/>
    <w:rsid w:val="0779354C"/>
    <w:rsid w:val="07AF7E3A"/>
    <w:rsid w:val="07BE1E2B"/>
    <w:rsid w:val="08002443"/>
    <w:rsid w:val="08061376"/>
    <w:rsid w:val="08452D77"/>
    <w:rsid w:val="086401F8"/>
    <w:rsid w:val="086D0535"/>
    <w:rsid w:val="08751CAA"/>
    <w:rsid w:val="087E4C40"/>
    <w:rsid w:val="08A246F4"/>
    <w:rsid w:val="08A871D0"/>
    <w:rsid w:val="08C571E9"/>
    <w:rsid w:val="08D66AD6"/>
    <w:rsid w:val="08DA33A3"/>
    <w:rsid w:val="08E12275"/>
    <w:rsid w:val="08E80F13"/>
    <w:rsid w:val="08F31FA8"/>
    <w:rsid w:val="09335624"/>
    <w:rsid w:val="0944690F"/>
    <w:rsid w:val="094D5A54"/>
    <w:rsid w:val="09535675"/>
    <w:rsid w:val="095F057D"/>
    <w:rsid w:val="09642282"/>
    <w:rsid w:val="09733572"/>
    <w:rsid w:val="09772C16"/>
    <w:rsid w:val="098353B5"/>
    <w:rsid w:val="09A92330"/>
    <w:rsid w:val="09B06B87"/>
    <w:rsid w:val="09C13146"/>
    <w:rsid w:val="09E04166"/>
    <w:rsid w:val="0A1C0718"/>
    <w:rsid w:val="0A3E7710"/>
    <w:rsid w:val="0A4C7BC2"/>
    <w:rsid w:val="0A5B7E63"/>
    <w:rsid w:val="0A8455AD"/>
    <w:rsid w:val="0A906A1C"/>
    <w:rsid w:val="0AA374A5"/>
    <w:rsid w:val="0AAB7649"/>
    <w:rsid w:val="0ABC5606"/>
    <w:rsid w:val="0AC92FC0"/>
    <w:rsid w:val="0ACE378F"/>
    <w:rsid w:val="0AEB73DB"/>
    <w:rsid w:val="0B0142F8"/>
    <w:rsid w:val="0B270AEA"/>
    <w:rsid w:val="0B30404E"/>
    <w:rsid w:val="0B3A3EBE"/>
    <w:rsid w:val="0B3C7C36"/>
    <w:rsid w:val="0B446AEB"/>
    <w:rsid w:val="0B4C6C14"/>
    <w:rsid w:val="0B505490"/>
    <w:rsid w:val="0B547599"/>
    <w:rsid w:val="0B61144B"/>
    <w:rsid w:val="0B631A88"/>
    <w:rsid w:val="0B683D45"/>
    <w:rsid w:val="0B7F3F11"/>
    <w:rsid w:val="0B884417"/>
    <w:rsid w:val="0BA852CC"/>
    <w:rsid w:val="0BB2614A"/>
    <w:rsid w:val="0BC83278"/>
    <w:rsid w:val="0BF6188C"/>
    <w:rsid w:val="0BF73C91"/>
    <w:rsid w:val="0C154D9D"/>
    <w:rsid w:val="0C170175"/>
    <w:rsid w:val="0C2671FD"/>
    <w:rsid w:val="0C571A41"/>
    <w:rsid w:val="0C5C1171"/>
    <w:rsid w:val="0C5E1CBC"/>
    <w:rsid w:val="0C615B50"/>
    <w:rsid w:val="0C7927C4"/>
    <w:rsid w:val="0C8445DA"/>
    <w:rsid w:val="0C87121B"/>
    <w:rsid w:val="0C9D2956"/>
    <w:rsid w:val="0CB11F5E"/>
    <w:rsid w:val="0CBA3508"/>
    <w:rsid w:val="0CC007F7"/>
    <w:rsid w:val="0CC25F19"/>
    <w:rsid w:val="0CC617AC"/>
    <w:rsid w:val="0CE618DF"/>
    <w:rsid w:val="0CFE707A"/>
    <w:rsid w:val="0D063BDA"/>
    <w:rsid w:val="0D08375F"/>
    <w:rsid w:val="0D0C188A"/>
    <w:rsid w:val="0D184CFB"/>
    <w:rsid w:val="0D4977E2"/>
    <w:rsid w:val="0D4A7419"/>
    <w:rsid w:val="0D611BD6"/>
    <w:rsid w:val="0D660F2C"/>
    <w:rsid w:val="0D827401"/>
    <w:rsid w:val="0D84094E"/>
    <w:rsid w:val="0D8A00E9"/>
    <w:rsid w:val="0D8D589E"/>
    <w:rsid w:val="0D933D59"/>
    <w:rsid w:val="0DA01C73"/>
    <w:rsid w:val="0DA03BB0"/>
    <w:rsid w:val="0DA63A8D"/>
    <w:rsid w:val="0DBC6E0C"/>
    <w:rsid w:val="0DC9777B"/>
    <w:rsid w:val="0DCF4D92"/>
    <w:rsid w:val="0DD63300"/>
    <w:rsid w:val="0DE10621"/>
    <w:rsid w:val="0DF50604"/>
    <w:rsid w:val="0DF702FE"/>
    <w:rsid w:val="0E010CC3"/>
    <w:rsid w:val="0E060E51"/>
    <w:rsid w:val="0E5604B2"/>
    <w:rsid w:val="0E5B6625"/>
    <w:rsid w:val="0E6D5D79"/>
    <w:rsid w:val="0E813BB2"/>
    <w:rsid w:val="0E821C25"/>
    <w:rsid w:val="0E9658AF"/>
    <w:rsid w:val="0E9D0089"/>
    <w:rsid w:val="0EA855E3"/>
    <w:rsid w:val="0EB803EE"/>
    <w:rsid w:val="0EC95C85"/>
    <w:rsid w:val="0EE865B1"/>
    <w:rsid w:val="0EF14B54"/>
    <w:rsid w:val="0EF1655F"/>
    <w:rsid w:val="0EF94D4B"/>
    <w:rsid w:val="0F1D38DB"/>
    <w:rsid w:val="0F2C643F"/>
    <w:rsid w:val="0F2C7FC2"/>
    <w:rsid w:val="0F4958DC"/>
    <w:rsid w:val="0F515DF7"/>
    <w:rsid w:val="0F596BA8"/>
    <w:rsid w:val="0F6248D2"/>
    <w:rsid w:val="0F693536"/>
    <w:rsid w:val="0F7B0511"/>
    <w:rsid w:val="0F7B76D9"/>
    <w:rsid w:val="0F816ACD"/>
    <w:rsid w:val="0F9832DB"/>
    <w:rsid w:val="0F9A13CF"/>
    <w:rsid w:val="0FA4224E"/>
    <w:rsid w:val="0FBF3FD2"/>
    <w:rsid w:val="0FBF7FF3"/>
    <w:rsid w:val="10646583"/>
    <w:rsid w:val="106907B9"/>
    <w:rsid w:val="106E3D0A"/>
    <w:rsid w:val="107D4B15"/>
    <w:rsid w:val="108A3C80"/>
    <w:rsid w:val="108C51BC"/>
    <w:rsid w:val="10AC760C"/>
    <w:rsid w:val="10B101ED"/>
    <w:rsid w:val="10C1172A"/>
    <w:rsid w:val="10C26171"/>
    <w:rsid w:val="10ED552F"/>
    <w:rsid w:val="10F33360"/>
    <w:rsid w:val="10FC16EA"/>
    <w:rsid w:val="110F1D40"/>
    <w:rsid w:val="11255760"/>
    <w:rsid w:val="11266F33"/>
    <w:rsid w:val="112F3D99"/>
    <w:rsid w:val="113D64B6"/>
    <w:rsid w:val="11435D86"/>
    <w:rsid w:val="116A6B7F"/>
    <w:rsid w:val="117874EE"/>
    <w:rsid w:val="118963A1"/>
    <w:rsid w:val="118B5473"/>
    <w:rsid w:val="11AD0113"/>
    <w:rsid w:val="11AE4CBE"/>
    <w:rsid w:val="11C6522A"/>
    <w:rsid w:val="11DC6927"/>
    <w:rsid w:val="11E104CC"/>
    <w:rsid w:val="11E20309"/>
    <w:rsid w:val="11F72B09"/>
    <w:rsid w:val="1206262D"/>
    <w:rsid w:val="12255233"/>
    <w:rsid w:val="12274A70"/>
    <w:rsid w:val="12486EC1"/>
    <w:rsid w:val="12530213"/>
    <w:rsid w:val="127723A9"/>
    <w:rsid w:val="127759F8"/>
    <w:rsid w:val="12862074"/>
    <w:rsid w:val="12883966"/>
    <w:rsid w:val="129E45B4"/>
    <w:rsid w:val="12D81596"/>
    <w:rsid w:val="13072A44"/>
    <w:rsid w:val="130A1DF3"/>
    <w:rsid w:val="134502E2"/>
    <w:rsid w:val="135F4BE2"/>
    <w:rsid w:val="139B1A0A"/>
    <w:rsid w:val="139D25C7"/>
    <w:rsid w:val="13BF3CE4"/>
    <w:rsid w:val="13C6140A"/>
    <w:rsid w:val="13EE1CEA"/>
    <w:rsid w:val="13EE427B"/>
    <w:rsid w:val="141008D8"/>
    <w:rsid w:val="14125FE6"/>
    <w:rsid w:val="146855F8"/>
    <w:rsid w:val="146D271E"/>
    <w:rsid w:val="14877FF9"/>
    <w:rsid w:val="14982588"/>
    <w:rsid w:val="149A5AD9"/>
    <w:rsid w:val="14A7619D"/>
    <w:rsid w:val="14A96492"/>
    <w:rsid w:val="14AA0312"/>
    <w:rsid w:val="14E86739"/>
    <w:rsid w:val="14F7697C"/>
    <w:rsid w:val="150536C3"/>
    <w:rsid w:val="150C1963"/>
    <w:rsid w:val="151447A0"/>
    <w:rsid w:val="153B2D0D"/>
    <w:rsid w:val="154716B1"/>
    <w:rsid w:val="154A6454"/>
    <w:rsid w:val="15681628"/>
    <w:rsid w:val="15762120"/>
    <w:rsid w:val="159E0850"/>
    <w:rsid w:val="15F07F9B"/>
    <w:rsid w:val="161F262E"/>
    <w:rsid w:val="16204FC8"/>
    <w:rsid w:val="165F6881"/>
    <w:rsid w:val="16675AAA"/>
    <w:rsid w:val="16692350"/>
    <w:rsid w:val="16985F3D"/>
    <w:rsid w:val="16A8729C"/>
    <w:rsid w:val="16B33777"/>
    <w:rsid w:val="16BC70A7"/>
    <w:rsid w:val="16C6339E"/>
    <w:rsid w:val="16CB4564"/>
    <w:rsid w:val="16E359A2"/>
    <w:rsid w:val="16FB6BF7"/>
    <w:rsid w:val="17011D34"/>
    <w:rsid w:val="172F2D79"/>
    <w:rsid w:val="174560C4"/>
    <w:rsid w:val="17471E3D"/>
    <w:rsid w:val="174F484D"/>
    <w:rsid w:val="17557BEF"/>
    <w:rsid w:val="175F1846"/>
    <w:rsid w:val="17780248"/>
    <w:rsid w:val="177B7D38"/>
    <w:rsid w:val="179D1A5D"/>
    <w:rsid w:val="17BE7C25"/>
    <w:rsid w:val="17C84600"/>
    <w:rsid w:val="17CC0594"/>
    <w:rsid w:val="17D349C1"/>
    <w:rsid w:val="17EE050A"/>
    <w:rsid w:val="18244F26"/>
    <w:rsid w:val="1830729E"/>
    <w:rsid w:val="1844012A"/>
    <w:rsid w:val="18502F73"/>
    <w:rsid w:val="18622CA6"/>
    <w:rsid w:val="1870062C"/>
    <w:rsid w:val="18817102"/>
    <w:rsid w:val="18830A15"/>
    <w:rsid w:val="188350F6"/>
    <w:rsid w:val="18842C1C"/>
    <w:rsid w:val="18852B28"/>
    <w:rsid w:val="188B5321"/>
    <w:rsid w:val="189155D0"/>
    <w:rsid w:val="189A5F9C"/>
    <w:rsid w:val="18B84674"/>
    <w:rsid w:val="18C528D3"/>
    <w:rsid w:val="18D53478"/>
    <w:rsid w:val="18DA45EA"/>
    <w:rsid w:val="18DF60A5"/>
    <w:rsid w:val="190F5E43"/>
    <w:rsid w:val="19241D0A"/>
    <w:rsid w:val="19371A3D"/>
    <w:rsid w:val="19393A07"/>
    <w:rsid w:val="19406B43"/>
    <w:rsid w:val="19467ED2"/>
    <w:rsid w:val="198A1288"/>
    <w:rsid w:val="19932372"/>
    <w:rsid w:val="19A20DD5"/>
    <w:rsid w:val="19AE03F1"/>
    <w:rsid w:val="19BE3F0C"/>
    <w:rsid w:val="19D159ED"/>
    <w:rsid w:val="19EF2318"/>
    <w:rsid w:val="19F17E3E"/>
    <w:rsid w:val="1A071A03"/>
    <w:rsid w:val="1A197394"/>
    <w:rsid w:val="1A1F16AE"/>
    <w:rsid w:val="1A3B5C77"/>
    <w:rsid w:val="1A3D643F"/>
    <w:rsid w:val="1A404921"/>
    <w:rsid w:val="1A497C7A"/>
    <w:rsid w:val="1A6920CA"/>
    <w:rsid w:val="1A984BAD"/>
    <w:rsid w:val="1AAB26E2"/>
    <w:rsid w:val="1AB8220E"/>
    <w:rsid w:val="1AE31E7C"/>
    <w:rsid w:val="1AE4166C"/>
    <w:rsid w:val="1AF06CFB"/>
    <w:rsid w:val="1AF11B8D"/>
    <w:rsid w:val="1B012302"/>
    <w:rsid w:val="1B11359C"/>
    <w:rsid w:val="1B1A295C"/>
    <w:rsid w:val="1B2A271F"/>
    <w:rsid w:val="1B3F2E2B"/>
    <w:rsid w:val="1B4F12C0"/>
    <w:rsid w:val="1B522B5E"/>
    <w:rsid w:val="1B530544"/>
    <w:rsid w:val="1B713184"/>
    <w:rsid w:val="1B966EEF"/>
    <w:rsid w:val="1BA209CF"/>
    <w:rsid w:val="1BA74CB4"/>
    <w:rsid w:val="1BB4777D"/>
    <w:rsid w:val="1BD75AB8"/>
    <w:rsid w:val="1C0459C2"/>
    <w:rsid w:val="1C1B3B4A"/>
    <w:rsid w:val="1C5C23DC"/>
    <w:rsid w:val="1C730FDE"/>
    <w:rsid w:val="1C88086E"/>
    <w:rsid w:val="1CD557F5"/>
    <w:rsid w:val="1CE95678"/>
    <w:rsid w:val="1D01483C"/>
    <w:rsid w:val="1D0219EA"/>
    <w:rsid w:val="1D077978"/>
    <w:rsid w:val="1D102CD1"/>
    <w:rsid w:val="1D266CE1"/>
    <w:rsid w:val="1D291FE4"/>
    <w:rsid w:val="1D322C47"/>
    <w:rsid w:val="1D3963AF"/>
    <w:rsid w:val="1D6A673C"/>
    <w:rsid w:val="1D81772B"/>
    <w:rsid w:val="1D9247AE"/>
    <w:rsid w:val="1DB567EC"/>
    <w:rsid w:val="1DF51A98"/>
    <w:rsid w:val="1E051CD9"/>
    <w:rsid w:val="1E0C793C"/>
    <w:rsid w:val="1E37428D"/>
    <w:rsid w:val="1E3D060F"/>
    <w:rsid w:val="1E3F7D2E"/>
    <w:rsid w:val="1E4134E4"/>
    <w:rsid w:val="1E443A4A"/>
    <w:rsid w:val="1E490EBC"/>
    <w:rsid w:val="1E5062B3"/>
    <w:rsid w:val="1E523514"/>
    <w:rsid w:val="1E537319"/>
    <w:rsid w:val="1E714A66"/>
    <w:rsid w:val="1E802593"/>
    <w:rsid w:val="1E8B6156"/>
    <w:rsid w:val="1E982F7E"/>
    <w:rsid w:val="1EA703CC"/>
    <w:rsid w:val="1EB7330C"/>
    <w:rsid w:val="1F045563"/>
    <w:rsid w:val="1F0A0FF3"/>
    <w:rsid w:val="1F1D7927"/>
    <w:rsid w:val="1F576995"/>
    <w:rsid w:val="1F5771FF"/>
    <w:rsid w:val="1F5A6485"/>
    <w:rsid w:val="1F5F135F"/>
    <w:rsid w:val="1F861028"/>
    <w:rsid w:val="1F903C55"/>
    <w:rsid w:val="1FA0658E"/>
    <w:rsid w:val="1FD52574"/>
    <w:rsid w:val="1FD92850"/>
    <w:rsid w:val="1FE868A9"/>
    <w:rsid w:val="1FF97A4C"/>
    <w:rsid w:val="20034907"/>
    <w:rsid w:val="20173E4B"/>
    <w:rsid w:val="2027280B"/>
    <w:rsid w:val="20322F5E"/>
    <w:rsid w:val="20474C5B"/>
    <w:rsid w:val="204E48BC"/>
    <w:rsid w:val="20686980"/>
    <w:rsid w:val="208921B3"/>
    <w:rsid w:val="20973DEB"/>
    <w:rsid w:val="20B26522"/>
    <w:rsid w:val="20B43CF2"/>
    <w:rsid w:val="20B44310"/>
    <w:rsid w:val="20CB6CB7"/>
    <w:rsid w:val="211116EB"/>
    <w:rsid w:val="21240AF9"/>
    <w:rsid w:val="213827F6"/>
    <w:rsid w:val="216133FC"/>
    <w:rsid w:val="216F65C8"/>
    <w:rsid w:val="21817CF9"/>
    <w:rsid w:val="219A525F"/>
    <w:rsid w:val="21D56769"/>
    <w:rsid w:val="21D95D87"/>
    <w:rsid w:val="21DC7625"/>
    <w:rsid w:val="21E52EF3"/>
    <w:rsid w:val="21E62252"/>
    <w:rsid w:val="21FB5D7B"/>
    <w:rsid w:val="21FC486F"/>
    <w:rsid w:val="22015E94"/>
    <w:rsid w:val="220B1C3D"/>
    <w:rsid w:val="221D1D20"/>
    <w:rsid w:val="22334A87"/>
    <w:rsid w:val="22401962"/>
    <w:rsid w:val="2285391D"/>
    <w:rsid w:val="22BE6801"/>
    <w:rsid w:val="22D402FC"/>
    <w:rsid w:val="22FB3ADB"/>
    <w:rsid w:val="230175C4"/>
    <w:rsid w:val="230865AC"/>
    <w:rsid w:val="233500BF"/>
    <w:rsid w:val="23377FF7"/>
    <w:rsid w:val="23527E42"/>
    <w:rsid w:val="236B425F"/>
    <w:rsid w:val="23827D58"/>
    <w:rsid w:val="23836192"/>
    <w:rsid w:val="23901F29"/>
    <w:rsid w:val="23902F99"/>
    <w:rsid w:val="2392443F"/>
    <w:rsid w:val="239C0061"/>
    <w:rsid w:val="23B908A4"/>
    <w:rsid w:val="23BF0FAD"/>
    <w:rsid w:val="23C44815"/>
    <w:rsid w:val="23C6233B"/>
    <w:rsid w:val="23CB0724"/>
    <w:rsid w:val="23E95BEF"/>
    <w:rsid w:val="23FD0064"/>
    <w:rsid w:val="244C56BA"/>
    <w:rsid w:val="245375B0"/>
    <w:rsid w:val="24545B99"/>
    <w:rsid w:val="24642C0A"/>
    <w:rsid w:val="24977834"/>
    <w:rsid w:val="24B22173"/>
    <w:rsid w:val="24B26D55"/>
    <w:rsid w:val="24B95AD9"/>
    <w:rsid w:val="24BE24DA"/>
    <w:rsid w:val="24C271F2"/>
    <w:rsid w:val="24CF5825"/>
    <w:rsid w:val="24D663E6"/>
    <w:rsid w:val="24D77F2B"/>
    <w:rsid w:val="24ED38F7"/>
    <w:rsid w:val="250D7AF6"/>
    <w:rsid w:val="25206005"/>
    <w:rsid w:val="254F2893"/>
    <w:rsid w:val="258778A8"/>
    <w:rsid w:val="258B00E2"/>
    <w:rsid w:val="25A57461"/>
    <w:rsid w:val="25A917A6"/>
    <w:rsid w:val="25BE27CC"/>
    <w:rsid w:val="25C97EC1"/>
    <w:rsid w:val="25E92568"/>
    <w:rsid w:val="25F74A5C"/>
    <w:rsid w:val="25FE6AF7"/>
    <w:rsid w:val="262756A6"/>
    <w:rsid w:val="2628662C"/>
    <w:rsid w:val="262D45DE"/>
    <w:rsid w:val="263C4B36"/>
    <w:rsid w:val="26437C73"/>
    <w:rsid w:val="264A7253"/>
    <w:rsid w:val="2660355C"/>
    <w:rsid w:val="267C3630"/>
    <w:rsid w:val="26871DC8"/>
    <w:rsid w:val="26A53EF9"/>
    <w:rsid w:val="26A94201"/>
    <w:rsid w:val="26AC274F"/>
    <w:rsid w:val="26DC4716"/>
    <w:rsid w:val="27044A29"/>
    <w:rsid w:val="2705317A"/>
    <w:rsid w:val="271D34C8"/>
    <w:rsid w:val="27347EDA"/>
    <w:rsid w:val="276142BF"/>
    <w:rsid w:val="27783712"/>
    <w:rsid w:val="278422F1"/>
    <w:rsid w:val="27907362"/>
    <w:rsid w:val="27CB43C4"/>
    <w:rsid w:val="27D25752"/>
    <w:rsid w:val="28211030"/>
    <w:rsid w:val="28212236"/>
    <w:rsid w:val="28213FE4"/>
    <w:rsid w:val="28333E1D"/>
    <w:rsid w:val="283D6944"/>
    <w:rsid w:val="28454BD6"/>
    <w:rsid w:val="28455253"/>
    <w:rsid w:val="284B1054"/>
    <w:rsid w:val="2852419D"/>
    <w:rsid w:val="28537F15"/>
    <w:rsid w:val="28551971"/>
    <w:rsid w:val="285B1C53"/>
    <w:rsid w:val="285F4B0C"/>
    <w:rsid w:val="287560DE"/>
    <w:rsid w:val="28956780"/>
    <w:rsid w:val="289F7086"/>
    <w:rsid w:val="28BC5ABB"/>
    <w:rsid w:val="28BE1833"/>
    <w:rsid w:val="28C32028"/>
    <w:rsid w:val="28CC490F"/>
    <w:rsid w:val="28D948BF"/>
    <w:rsid w:val="28DD7E7C"/>
    <w:rsid w:val="28DE40AA"/>
    <w:rsid w:val="28EF5E90"/>
    <w:rsid w:val="28F434A6"/>
    <w:rsid w:val="290D27BA"/>
    <w:rsid w:val="29345E77"/>
    <w:rsid w:val="293F6FFB"/>
    <w:rsid w:val="29455AB0"/>
    <w:rsid w:val="294C65AD"/>
    <w:rsid w:val="296A6FA2"/>
    <w:rsid w:val="29806583"/>
    <w:rsid w:val="298A7967"/>
    <w:rsid w:val="298B3C4C"/>
    <w:rsid w:val="29A812EF"/>
    <w:rsid w:val="29BB6B4E"/>
    <w:rsid w:val="29F23E8A"/>
    <w:rsid w:val="29F26D24"/>
    <w:rsid w:val="29FB0865"/>
    <w:rsid w:val="2A082BA9"/>
    <w:rsid w:val="2A111E36"/>
    <w:rsid w:val="2A15033F"/>
    <w:rsid w:val="2A1662C1"/>
    <w:rsid w:val="2A1C7367"/>
    <w:rsid w:val="2A225DF1"/>
    <w:rsid w:val="2A2815FA"/>
    <w:rsid w:val="2A32072A"/>
    <w:rsid w:val="2A6D6092"/>
    <w:rsid w:val="2A7D76B4"/>
    <w:rsid w:val="2AC455D6"/>
    <w:rsid w:val="2AD4533E"/>
    <w:rsid w:val="2AE17FD7"/>
    <w:rsid w:val="2AEF2177"/>
    <w:rsid w:val="2B437463"/>
    <w:rsid w:val="2B5B47F7"/>
    <w:rsid w:val="2B7807EE"/>
    <w:rsid w:val="2B85488A"/>
    <w:rsid w:val="2BA50BF7"/>
    <w:rsid w:val="2BB60EE7"/>
    <w:rsid w:val="2BBE1B4A"/>
    <w:rsid w:val="2BBF00EC"/>
    <w:rsid w:val="2BC37CFD"/>
    <w:rsid w:val="2BCE7FDF"/>
    <w:rsid w:val="2BD5237F"/>
    <w:rsid w:val="2BE12049"/>
    <w:rsid w:val="2BE536CE"/>
    <w:rsid w:val="2BE758D9"/>
    <w:rsid w:val="2BE839B4"/>
    <w:rsid w:val="2BF346BB"/>
    <w:rsid w:val="2C09049E"/>
    <w:rsid w:val="2C0A653C"/>
    <w:rsid w:val="2C191F85"/>
    <w:rsid w:val="2C1A4660"/>
    <w:rsid w:val="2C2422F5"/>
    <w:rsid w:val="2C464019"/>
    <w:rsid w:val="2C471B3F"/>
    <w:rsid w:val="2C5C119F"/>
    <w:rsid w:val="2C8D7E9A"/>
    <w:rsid w:val="2CA60F5C"/>
    <w:rsid w:val="2CCF4BE1"/>
    <w:rsid w:val="2CE82D6F"/>
    <w:rsid w:val="2D343236"/>
    <w:rsid w:val="2D371BB4"/>
    <w:rsid w:val="2D575011"/>
    <w:rsid w:val="2D727090"/>
    <w:rsid w:val="2D8C63A3"/>
    <w:rsid w:val="2DA42AF3"/>
    <w:rsid w:val="2DA82AB1"/>
    <w:rsid w:val="2DA97277"/>
    <w:rsid w:val="2DD15014"/>
    <w:rsid w:val="2DF72DE4"/>
    <w:rsid w:val="2E0220AF"/>
    <w:rsid w:val="2E255EB0"/>
    <w:rsid w:val="2E3D2981"/>
    <w:rsid w:val="2E4B082A"/>
    <w:rsid w:val="2E5073D1"/>
    <w:rsid w:val="2E5D4E86"/>
    <w:rsid w:val="2E5D790B"/>
    <w:rsid w:val="2E921798"/>
    <w:rsid w:val="2E9A3C18"/>
    <w:rsid w:val="2EBB0FEE"/>
    <w:rsid w:val="2EC63002"/>
    <w:rsid w:val="2EDC6EB7"/>
    <w:rsid w:val="2EEE0998"/>
    <w:rsid w:val="2EF37D5C"/>
    <w:rsid w:val="2EF73CF0"/>
    <w:rsid w:val="2F067A90"/>
    <w:rsid w:val="2F0A6B38"/>
    <w:rsid w:val="2F175DA7"/>
    <w:rsid w:val="2F2B5748"/>
    <w:rsid w:val="2F633134"/>
    <w:rsid w:val="2F8A06C1"/>
    <w:rsid w:val="2F946CCB"/>
    <w:rsid w:val="2FA572A9"/>
    <w:rsid w:val="2FB25651"/>
    <w:rsid w:val="2FC82F97"/>
    <w:rsid w:val="2FD22068"/>
    <w:rsid w:val="2FD25781"/>
    <w:rsid w:val="2FDC745C"/>
    <w:rsid w:val="2FE778C1"/>
    <w:rsid w:val="2FFD70E5"/>
    <w:rsid w:val="2FFD7934"/>
    <w:rsid w:val="30276A1A"/>
    <w:rsid w:val="302C7D96"/>
    <w:rsid w:val="304545E8"/>
    <w:rsid w:val="306058C5"/>
    <w:rsid w:val="306727B0"/>
    <w:rsid w:val="306A6C7A"/>
    <w:rsid w:val="307024B6"/>
    <w:rsid w:val="30733ACD"/>
    <w:rsid w:val="308C3862"/>
    <w:rsid w:val="309379D8"/>
    <w:rsid w:val="30A270F7"/>
    <w:rsid w:val="30A47560"/>
    <w:rsid w:val="30DF1478"/>
    <w:rsid w:val="30E20088"/>
    <w:rsid w:val="30E3452C"/>
    <w:rsid w:val="30E47D3C"/>
    <w:rsid w:val="30EC586F"/>
    <w:rsid w:val="30FF6E8C"/>
    <w:rsid w:val="310E5321"/>
    <w:rsid w:val="31103A40"/>
    <w:rsid w:val="312D39F9"/>
    <w:rsid w:val="31376626"/>
    <w:rsid w:val="31540F86"/>
    <w:rsid w:val="319C6071"/>
    <w:rsid w:val="31AC537E"/>
    <w:rsid w:val="31DF4E6D"/>
    <w:rsid w:val="31E3679B"/>
    <w:rsid w:val="31E732FD"/>
    <w:rsid w:val="32517576"/>
    <w:rsid w:val="326E11B4"/>
    <w:rsid w:val="32713DBA"/>
    <w:rsid w:val="32BE5C2C"/>
    <w:rsid w:val="32CF0BE6"/>
    <w:rsid w:val="32E45B37"/>
    <w:rsid w:val="32EE00D1"/>
    <w:rsid w:val="32FB6478"/>
    <w:rsid w:val="33263B3F"/>
    <w:rsid w:val="33633703"/>
    <w:rsid w:val="336963EB"/>
    <w:rsid w:val="33816EEB"/>
    <w:rsid w:val="33927DE1"/>
    <w:rsid w:val="339C4E66"/>
    <w:rsid w:val="339E5F73"/>
    <w:rsid w:val="33EB55CD"/>
    <w:rsid w:val="33EC4C02"/>
    <w:rsid w:val="340D2360"/>
    <w:rsid w:val="3410665D"/>
    <w:rsid w:val="34211214"/>
    <w:rsid w:val="342E63AB"/>
    <w:rsid w:val="34950E68"/>
    <w:rsid w:val="34986E94"/>
    <w:rsid w:val="34AF62C9"/>
    <w:rsid w:val="34CB4388"/>
    <w:rsid w:val="34FA6E12"/>
    <w:rsid w:val="35075F7E"/>
    <w:rsid w:val="354D7158"/>
    <w:rsid w:val="358D5588"/>
    <w:rsid w:val="3592207D"/>
    <w:rsid w:val="35D72EDE"/>
    <w:rsid w:val="35DE1766"/>
    <w:rsid w:val="35E0728C"/>
    <w:rsid w:val="35F03248"/>
    <w:rsid w:val="363A3B40"/>
    <w:rsid w:val="365302AE"/>
    <w:rsid w:val="36607A0A"/>
    <w:rsid w:val="366E227C"/>
    <w:rsid w:val="366F2E0D"/>
    <w:rsid w:val="36744C1F"/>
    <w:rsid w:val="367B6A5C"/>
    <w:rsid w:val="36886EDD"/>
    <w:rsid w:val="36927A5D"/>
    <w:rsid w:val="36A74ADA"/>
    <w:rsid w:val="36AD60D5"/>
    <w:rsid w:val="36B224F9"/>
    <w:rsid w:val="36E6103A"/>
    <w:rsid w:val="36EC0CC9"/>
    <w:rsid w:val="37075C97"/>
    <w:rsid w:val="373F410B"/>
    <w:rsid w:val="37704640"/>
    <w:rsid w:val="37936580"/>
    <w:rsid w:val="37D270A9"/>
    <w:rsid w:val="37D90437"/>
    <w:rsid w:val="37EE7094"/>
    <w:rsid w:val="37FE1C4C"/>
    <w:rsid w:val="38296C89"/>
    <w:rsid w:val="383002EB"/>
    <w:rsid w:val="38586797"/>
    <w:rsid w:val="385D15DF"/>
    <w:rsid w:val="3862667F"/>
    <w:rsid w:val="388E7705"/>
    <w:rsid w:val="38AA5930"/>
    <w:rsid w:val="38B60778"/>
    <w:rsid w:val="38BC0149"/>
    <w:rsid w:val="38D87D1C"/>
    <w:rsid w:val="38DE1A7D"/>
    <w:rsid w:val="38E1010B"/>
    <w:rsid w:val="39112166"/>
    <w:rsid w:val="391B4A7F"/>
    <w:rsid w:val="39241B86"/>
    <w:rsid w:val="39636459"/>
    <w:rsid w:val="39641F82"/>
    <w:rsid w:val="396B7F6C"/>
    <w:rsid w:val="397F6DBC"/>
    <w:rsid w:val="39875C71"/>
    <w:rsid w:val="39B417A9"/>
    <w:rsid w:val="39FC5695"/>
    <w:rsid w:val="3A006D8E"/>
    <w:rsid w:val="3A06128C"/>
    <w:rsid w:val="3A2408E5"/>
    <w:rsid w:val="3A3651E5"/>
    <w:rsid w:val="3A5C70FE"/>
    <w:rsid w:val="3A744481"/>
    <w:rsid w:val="3A8C7BEF"/>
    <w:rsid w:val="3A906246"/>
    <w:rsid w:val="3AB40CE8"/>
    <w:rsid w:val="3AB959C1"/>
    <w:rsid w:val="3B114A4B"/>
    <w:rsid w:val="3B1F2605"/>
    <w:rsid w:val="3B2349B7"/>
    <w:rsid w:val="3B2F4558"/>
    <w:rsid w:val="3B406749"/>
    <w:rsid w:val="3B616CFF"/>
    <w:rsid w:val="3B6259F6"/>
    <w:rsid w:val="3B976654"/>
    <w:rsid w:val="3BC01EFC"/>
    <w:rsid w:val="3BC246DE"/>
    <w:rsid w:val="3BCA786A"/>
    <w:rsid w:val="3BD258C9"/>
    <w:rsid w:val="3BD31E2F"/>
    <w:rsid w:val="3BF15831"/>
    <w:rsid w:val="3BFC46F4"/>
    <w:rsid w:val="3C081F8A"/>
    <w:rsid w:val="3C105946"/>
    <w:rsid w:val="3C1C0306"/>
    <w:rsid w:val="3C237ED3"/>
    <w:rsid w:val="3C461E13"/>
    <w:rsid w:val="3C471448"/>
    <w:rsid w:val="3C5F759A"/>
    <w:rsid w:val="3C606958"/>
    <w:rsid w:val="3C6C525A"/>
    <w:rsid w:val="3CB21484"/>
    <w:rsid w:val="3CC0115D"/>
    <w:rsid w:val="3CC176EC"/>
    <w:rsid w:val="3CCE23CB"/>
    <w:rsid w:val="3CD17D17"/>
    <w:rsid w:val="3CD613E9"/>
    <w:rsid w:val="3CDE029E"/>
    <w:rsid w:val="3CF03B2D"/>
    <w:rsid w:val="3D073BEB"/>
    <w:rsid w:val="3D112421"/>
    <w:rsid w:val="3D2806AE"/>
    <w:rsid w:val="3D3C7F39"/>
    <w:rsid w:val="3D440F09"/>
    <w:rsid w:val="3D4504A0"/>
    <w:rsid w:val="3D6C08FE"/>
    <w:rsid w:val="3D8734BB"/>
    <w:rsid w:val="3D960B78"/>
    <w:rsid w:val="3D9A11D4"/>
    <w:rsid w:val="3DA16D89"/>
    <w:rsid w:val="3DA364BE"/>
    <w:rsid w:val="3DB13215"/>
    <w:rsid w:val="3DBF3C2B"/>
    <w:rsid w:val="3DE041CB"/>
    <w:rsid w:val="3E0D48F6"/>
    <w:rsid w:val="3E12063D"/>
    <w:rsid w:val="3E1868B4"/>
    <w:rsid w:val="3E377251"/>
    <w:rsid w:val="3E42664B"/>
    <w:rsid w:val="3E5A7334"/>
    <w:rsid w:val="3E68506A"/>
    <w:rsid w:val="3E6D18D9"/>
    <w:rsid w:val="3E7B5D6B"/>
    <w:rsid w:val="3E843E66"/>
    <w:rsid w:val="3E8F51FE"/>
    <w:rsid w:val="3E926F87"/>
    <w:rsid w:val="3E932226"/>
    <w:rsid w:val="3E9A59DE"/>
    <w:rsid w:val="3EAF4836"/>
    <w:rsid w:val="3EC33DFA"/>
    <w:rsid w:val="3ED47C92"/>
    <w:rsid w:val="3EED17D0"/>
    <w:rsid w:val="3EF142B8"/>
    <w:rsid w:val="3F060E16"/>
    <w:rsid w:val="3F1D1096"/>
    <w:rsid w:val="3F2F0234"/>
    <w:rsid w:val="3F4B7D4A"/>
    <w:rsid w:val="3F4F5483"/>
    <w:rsid w:val="3F6363FE"/>
    <w:rsid w:val="3F756B8F"/>
    <w:rsid w:val="3F95482B"/>
    <w:rsid w:val="3FA27361"/>
    <w:rsid w:val="3FF214A4"/>
    <w:rsid w:val="400E49F6"/>
    <w:rsid w:val="40183AC7"/>
    <w:rsid w:val="4019356B"/>
    <w:rsid w:val="403631AA"/>
    <w:rsid w:val="403F2E01"/>
    <w:rsid w:val="40592157"/>
    <w:rsid w:val="406E1CAE"/>
    <w:rsid w:val="407879B5"/>
    <w:rsid w:val="407C5E04"/>
    <w:rsid w:val="40A0133A"/>
    <w:rsid w:val="40A4535A"/>
    <w:rsid w:val="40C31A53"/>
    <w:rsid w:val="40EB11DB"/>
    <w:rsid w:val="40FA31CC"/>
    <w:rsid w:val="40FF545D"/>
    <w:rsid w:val="410067C8"/>
    <w:rsid w:val="41061B71"/>
    <w:rsid w:val="41151BC8"/>
    <w:rsid w:val="4135244D"/>
    <w:rsid w:val="41670862"/>
    <w:rsid w:val="418F0D2A"/>
    <w:rsid w:val="418F7DB9"/>
    <w:rsid w:val="41951050"/>
    <w:rsid w:val="41A50A65"/>
    <w:rsid w:val="41AA69A0"/>
    <w:rsid w:val="41AE2DB9"/>
    <w:rsid w:val="41AE6491"/>
    <w:rsid w:val="41B8730F"/>
    <w:rsid w:val="41BB0759"/>
    <w:rsid w:val="41D01505"/>
    <w:rsid w:val="41D852BC"/>
    <w:rsid w:val="41E40104"/>
    <w:rsid w:val="41E838FF"/>
    <w:rsid w:val="41EC6FB9"/>
    <w:rsid w:val="41F92E32"/>
    <w:rsid w:val="42246753"/>
    <w:rsid w:val="42474939"/>
    <w:rsid w:val="424C3C57"/>
    <w:rsid w:val="42613FF3"/>
    <w:rsid w:val="42660D96"/>
    <w:rsid w:val="4269685C"/>
    <w:rsid w:val="42761CB9"/>
    <w:rsid w:val="42803834"/>
    <w:rsid w:val="428667D2"/>
    <w:rsid w:val="42935686"/>
    <w:rsid w:val="42B06238"/>
    <w:rsid w:val="42CD1CE0"/>
    <w:rsid w:val="42E1381E"/>
    <w:rsid w:val="42ED6459"/>
    <w:rsid w:val="42FE58DD"/>
    <w:rsid w:val="43174B3D"/>
    <w:rsid w:val="431C567C"/>
    <w:rsid w:val="432A5FEB"/>
    <w:rsid w:val="432F3601"/>
    <w:rsid w:val="432F53AF"/>
    <w:rsid w:val="434B790E"/>
    <w:rsid w:val="4360274F"/>
    <w:rsid w:val="43672D9B"/>
    <w:rsid w:val="43784FA8"/>
    <w:rsid w:val="4383394D"/>
    <w:rsid w:val="43977AB6"/>
    <w:rsid w:val="43A3342B"/>
    <w:rsid w:val="43C77C27"/>
    <w:rsid w:val="43DE09EE"/>
    <w:rsid w:val="43FF1225"/>
    <w:rsid w:val="44002FAD"/>
    <w:rsid w:val="44232423"/>
    <w:rsid w:val="449101DD"/>
    <w:rsid w:val="44CD30D2"/>
    <w:rsid w:val="44CF48CB"/>
    <w:rsid w:val="44DE1391"/>
    <w:rsid w:val="4501181A"/>
    <w:rsid w:val="45050ABD"/>
    <w:rsid w:val="451B225C"/>
    <w:rsid w:val="452410C9"/>
    <w:rsid w:val="45317DFB"/>
    <w:rsid w:val="453D7427"/>
    <w:rsid w:val="4568104C"/>
    <w:rsid w:val="456A0921"/>
    <w:rsid w:val="456D0411"/>
    <w:rsid w:val="456D3CE4"/>
    <w:rsid w:val="4579042C"/>
    <w:rsid w:val="457F0571"/>
    <w:rsid w:val="45851176"/>
    <w:rsid w:val="458614D2"/>
    <w:rsid w:val="45C63B94"/>
    <w:rsid w:val="45DD5596"/>
    <w:rsid w:val="460E7DA5"/>
    <w:rsid w:val="46422483"/>
    <w:rsid w:val="4659254A"/>
    <w:rsid w:val="465B0637"/>
    <w:rsid w:val="465E3F0D"/>
    <w:rsid w:val="466A16E6"/>
    <w:rsid w:val="46783841"/>
    <w:rsid w:val="46790B9E"/>
    <w:rsid w:val="467D0B27"/>
    <w:rsid w:val="46887C0B"/>
    <w:rsid w:val="46893F2B"/>
    <w:rsid w:val="46B02CAB"/>
    <w:rsid w:val="46C4686E"/>
    <w:rsid w:val="46D83FB0"/>
    <w:rsid w:val="46EE7D0C"/>
    <w:rsid w:val="47294935"/>
    <w:rsid w:val="472D7E58"/>
    <w:rsid w:val="47470441"/>
    <w:rsid w:val="477B778F"/>
    <w:rsid w:val="478203EC"/>
    <w:rsid w:val="478D4D9A"/>
    <w:rsid w:val="47A619B8"/>
    <w:rsid w:val="47B025FA"/>
    <w:rsid w:val="47BA60FC"/>
    <w:rsid w:val="47BF45D4"/>
    <w:rsid w:val="47C618D6"/>
    <w:rsid w:val="47CC15CE"/>
    <w:rsid w:val="47E10C42"/>
    <w:rsid w:val="4809698F"/>
    <w:rsid w:val="480C2163"/>
    <w:rsid w:val="4811697D"/>
    <w:rsid w:val="481B05F8"/>
    <w:rsid w:val="487675DC"/>
    <w:rsid w:val="487A3E25"/>
    <w:rsid w:val="488B5503"/>
    <w:rsid w:val="48937E21"/>
    <w:rsid w:val="489A0361"/>
    <w:rsid w:val="48B94FF3"/>
    <w:rsid w:val="48E37AAB"/>
    <w:rsid w:val="48EC3D42"/>
    <w:rsid w:val="48FD4B4C"/>
    <w:rsid w:val="490A68E0"/>
    <w:rsid w:val="490E5A67"/>
    <w:rsid w:val="491055FE"/>
    <w:rsid w:val="49374FBE"/>
    <w:rsid w:val="494B0A69"/>
    <w:rsid w:val="495F5B3E"/>
    <w:rsid w:val="496164DE"/>
    <w:rsid w:val="496F51E3"/>
    <w:rsid w:val="496F77D7"/>
    <w:rsid w:val="497654FD"/>
    <w:rsid w:val="49900B72"/>
    <w:rsid w:val="49B64211"/>
    <w:rsid w:val="49CB3B7E"/>
    <w:rsid w:val="49E862B8"/>
    <w:rsid w:val="49F6167F"/>
    <w:rsid w:val="4A064FA0"/>
    <w:rsid w:val="4A0B1011"/>
    <w:rsid w:val="4A16615C"/>
    <w:rsid w:val="4A4424D7"/>
    <w:rsid w:val="4A5120AF"/>
    <w:rsid w:val="4A560B18"/>
    <w:rsid w:val="4A5E657A"/>
    <w:rsid w:val="4AB82D0F"/>
    <w:rsid w:val="4ACC3E2B"/>
    <w:rsid w:val="4AEB7664"/>
    <w:rsid w:val="4AEE5B50"/>
    <w:rsid w:val="4AFD7C19"/>
    <w:rsid w:val="4AFF5FAF"/>
    <w:rsid w:val="4B0567D1"/>
    <w:rsid w:val="4B236AAE"/>
    <w:rsid w:val="4B4D6D1A"/>
    <w:rsid w:val="4B5C0362"/>
    <w:rsid w:val="4B707271"/>
    <w:rsid w:val="4B9739F7"/>
    <w:rsid w:val="4BA12BC2"/>
    <w:rsid w:val="4BCE3A3B"/>
    <w:rsid w:val="4BE2455B"/>
    <w:rsid w:val="4BEE2503"/>
    <w:rsid w:val="4BFC429C"/>
    <w:rsid w:val="4C245A30"/>
    <w:rsid w:val="4C692327"/>
    <w:rsid w:val="4CB6685F"/>
    <w:rsid w:val="4CC367FE"/>
    <w:rsid w:val="4CCF19B1"/>
    <w:rsid w:val="4CE42E8C"/>
    <w:rsid w:val="4CE91401"/>
    <w:rsid w:val="4CF67277"/>
    <w:rsid w:val="4D077F3C"/>
    <w:rsid w:val="4D123355"/>
    <w:rsid w:val="4D2A3B31"/>
    <w:rsid w:val="4D312C52"/>
    <w:rsid w:val="4D5D5EE7"/>
    <w:rsid w:val="4D905305"/>
    <w:rsid w:val="4D964A72"/>
    <w:rsid w:val="4D9C1254"/>
    <w:rsid w:val="4DB210B7"/>
    <w:rsid w:val="4DCD4142"/>
    <w:rsid w:val="4DD252B5"/>
    <w:rsid w:val="4E793892"/>
    <w:rsid w:val="4E800872"/>
    <w:rsid w:val="4EBE1CDD"/>
    <w:rsid w:val="4EC569ED"/>
    <w:rsid w:val="4ED50EA1"/>
    <w:rsid w:val="4EEA541F"/>
    <w:rsid w:val="4EEC050C"/>
    <w:rsid w:val="4F082F58"/>
    <w:rsid w:val="4F104EC3"/>
    <w:rsid w:val="4F235740"/>
    <w:rsid w:val="4F47354A"/>
    <w:rsid w:val="4F911C54"/>
    <w:rsid w:val="4FCB21DF"/>
    <w:rsid w:val="4FCC21D8"/>
    <w:rsid w:val="4FD53FAD"/>
    <w:rsid w:val="4FE625E0"/>
    <w:rsid w:val="501403F0"/>
    <w:rsid w:val="501537ED"/>
    <w:rsid w:val="5021480F"/>
    <w:rsid w:val="50463D38"/>
    <w:rsid w:val="50642410"/>
    <w:rsid w:val="50923421"/>
    <w:rsid w:val="50962ECB"/>
    <w:rsid w:val="50A078EC"/>
    <w:rsid w:val="50A42E38"/>
    <w:rsid w:val="50A4577F"/>
    <w:rsid w:val="50B73D1F"/>
    <w:rsid w:val="50BD5BC9"/>
    <w:rsid w:val="50C11EEE"/>
    <w:rsid w:val="50C3182D"/>
    <w:rsid w:val="50E97CFC"/>
    <w:rsid w:val="50FA4028"/>
    <w:rsid w:val="510D65B7"/>
    <w:rsid w:val="511157AB"/>
    <w:rsid w:val="5142540C"/>
    <w:rsid w:val="514C35D0"/>
    <w:rsid w:val="518832C8"/>
    <w:rsid w:val="51890380"/>
    <w:rsid w:val="519D3C50"/>
    <w:rsid w:val="51A0432A"/>
    <w:rsid w:val="51A451BA"/>
    <w:rsid w:val="51A86090"/>
    <w:rsid w:val="51B7396D"/>
    <w:rsid w:val="51D51818"/>
    <w:rsid w:val="5200056D"/>
    <w:rsid w:val="5201211C"/>
    <w:rsid w:val="520E4D2A"/>
    <w:rsid w:val="522E4CC3"/>
    <w:rsid w:val="5244713B"/>
    <w:rsid w:val="524C3BDA"/>
    <w:rsid w:val="5253273C"/>
    <w:rsid w:val="52615633"/>
    <w:rsid w:val="526C1DC5"/>
    <w:rsid w:val="526F4DE4"/>
    <w:rsid w:val="526F57C8"/>
    <w:rsid w:val="52860D64"/>
    <w:rsid w:val="52977FD4"/>
    <w:rsid w:val="52A25790"/>
    <w:rsid w:val="52A96B6F"/>
    <w:rsid w:val="52B45975"/>
    <w:rsid w:val="52B605F2"/>
    <w:rsid w:val="52C33D66"/>
    <w:rsid w:val="52D94AA4"/>
    <w:rsid w:val="52EA3A62"/>
    <w:rsid w:val="52F201A7"/>
    <w:rsid w:val="52F34166"/>
    <w:rsid w:val="52F50BB8"/>
    <w:rsid w:val="53034162"/>
    <w:rsid w:val="53097272"/>
    <w:rsid w:val="530A3743"/>
    <w:rsid w:val="531C4C0C"/>
    <w:rsid w:val="53346A12"/>
    <w:rsid w:val="53373E0C"/>
    <w:rsid w:val="53544462"/>
    <w:rsid w:val="535449BE"/>
    <w:rsid w:val="536410A5"/>
    <w:rsid w:val="536522FF"/>
    <w:rsid w:val="536A41E2"/>
    <w:rsid w:val="536C1D08"/>
    <w:rsid w:val="5397158E"/>
    <w:rsid w:val="53C658BC"/>
    <w:rsid w:val="53D9639A"/>
    <w:rsid w:val="53E45D42"/>
    <w:rsid w:val="53F35F85"/>
    <w:rsid w:val="54013861"/>
    <w:rsid w:val="542B571F"/>
    <w:rsid w:val="54487265"/>
    <w:rsid w:val="544D6070"/>
    <w:rsid w:val="54534C76"/>
    <w:rsid w:val="54605E1E"/>
    <w:rsid w:val="546E385E"/>
    <w:rsid w:val="547C41CC"/>
    <w:rsid w:val="54B3506A"/>
    <w:rsid w:val="54CA0D16"/>
    <w:rsid w:val="54DD4057"/>
    <w:rsid w:val="54E7490F"/>
    <w:rsid w:val="55033331"/>
    <w:rsid w:val="5503669C"/>
    <w:rsid w:val="550764A4"/>
    <w:rsid w:val="550B2BF6"/>
    <w:rsid w:val="550B72FE"/>
    <w:rsid w:val="55214EB5"/>
    <w:rsid w:val="55364EFD"/>
    <w:rsid w:val="554271C4"/>
    <w:rsid w:val="555D4828"/>
    <w:rsid w:val="55780E38"/>
    <w:rsid w:val="557A4C8B"/>
    <w:rsid w:val="557E5D22"/>
    <w:rsid w:val="558931E1"/>
    <w:rsid w:val="55923347"/>
    <w:rsid w:val="55925180"/>
    <w:rsid w:val="55983B1B"/>
    <w:rsid w:val="559B68D4"/>
    <w:rsid w:val="55A8376B"/>
    <w:rsid w:val="55C91693"/>
    <w:rsid w:val="55CE0A58"/>
    <w:rsid w:val="55CE2806"/>
    <w:rsid w:val="55D41DE6"/>
    <w:rsid w:val="55DC29B6"/>
    <w:rsid w:val="55DC6DCC"/>
    <w:rsid w:val="55DD4241"/>
    <w:rsid w:val="56004989"/>
    <w:rsid w:val="561F12B3"/>
    <w:rsid w:val="565076BF"/>
    <w:rsid w:val="566B6D1E"/>
    <w:rsid w:val="566D64C3"/>
    <w:rsid w:val="567E247E"/>
    <w:rsid w:val="56821842"/>
    <w:rsid w:val="568455BA"/>
    <w:rsid w:val="56927CD7"/>
    <w:rsid w:val="56981066"/>
    <w:rsid w:val="57032A2C"/>
    <w:rsid w:val="570F5219"/>
    <w:rsid w:val="575D12B5"/>
    <w:rsid w:val="57610A87"/>
    <w:rsid w:val="57723665"/>
    <w:rsid w:val="577B1140"/>
    <w:rsid w:val="577B7F21"/>
    <w:rsid w:val="577F181B"/>
    <w:rsid w:val="57921984"/>
    <w:rsid w:val="57935B11"/>
    <w:rsid w:val="579737F0"/>
    <w:rsid w:val="57AB7B30"/>
    <w:rsid w:val="57AF5251"/>
    <w:rsid w:val="57B26373"/>
    <w:rsid w:val="57B44CCE"/>
    <w:rsid w:val="57B63F04"/>
    <w:rsid w:val="57CD20C2"/>
    <w:rsid w:val="57D65757"/>
    <w:rsid w:val="57D675AB"/>
    <w:rsid w:val="57D73717"/>
    <w:rsid w:val="57D95FDD"/>
    <w:rsid w:val="58201313"/>
    <w:rsid w:val="58382B00"/>
    <w:rsid w:val="583A23D4"/>
    <w:rsid w:val="58555460"/>
    <w:rsid w:val="58845D45"/>
    <w:rsid w:val="58917D2F"/>
    <w:rsid w:val="5894085C"/>
    <w:rsid w:val="58AE4F0C"/>
    <w:rsid w:val="58B303D9"/>
    <w:rsid w:val="58B85899"/>
    <w:rsid w:val="58D02D39"/>
    <w:rsid w:val="58E363A9"/>
    <w:rsid w:val="58F20F01"/>
    <w:rsid w:val="59166304"/>
    <w:rsid w:val="5919648E"/>
    <w:rsid w:val="594F1EAF"/>
    <w:rsid w:val="595E1678"/>
    <w:rsid w:val="596D5BD4"/>
    <w:rsid w:val="597E3DD8"/>
    <w:rsid w:val="5996188C"/>
    <w:rsid w:val="59A65848"/>
    <w:rsid w:val="59AC7302"/>
    <w:rsid w:val="59B30690"/>
    <w:rsid w:val="59D27309"/>
    <w:rsid w:val="59E54D1E"/>
    <w:rsid w:val="59E54F62"/>
    <w:rsid w:val="59F80043"/>
    <w:rsid w:val="59FB37ED"/>
    <w:rsid w:val="5A09252F"/>
    <w:rsid w:val="5A0B2778"/>
    <w:rsid w:val="5A266144"/>
    <w:rsid w:val="5A2A7C7B"/>
    <w:rsid w:val="5A3E2560"/>
    <w:rsid w:val="5A533012"/>
    <w:rsid w:val="5A5D3B6E"/>
    <w:rsid w:val="5A6217BE"/>
    <w:rsid w:val="5A637A76"/>
    <w:rsid w:val="5A6C6A91"/>
    <w:rsid w:val="5A6D33BA"/>
    <w:rsid w:val="5A792B1F"/>
    <w:rsid w:val="5A874767"/>
    <w:rsid w:val="5A9658BC"/>
    <w:rsid w:val="5AA85BE2"/>
    <w:rsid w:val="5AAD6F28"/>
    <w:rsid w:val="5AC36B81"/>
    <w:rsid w:val="5AD16B2A"/>
    <w:rsid w:val="5AD63A24"/>
    <w:rsid w:val="5AF727FF"/>
    <w:rsid w:val="5B1F790D"/>
    <w:rsid w:val="5B2E1A1D"/>
    <w:rsid w:val="5B843A1C"/>
    <w:rsid w:val="5B873E3F"/>
    <w:rsid w:val="5B8C73EB"/>
    <w:rsid w:val="5BB93F58"/>
    <w:rsid w:val="5BF64864"/>
    <w:rsid w:val="5C02690E"/>
    <w:rsid w:val="5C1949F7"/>
    <w:rsid w:val="5C196DA7"/>
    <w:rsid w:val="5C2A048C"/>
    <w:rsid w:val="5C5E3ED3"/>
    <w:rsid w:val="5C702869"/>
    <w:rsid w:val="5C80234E"/>
    <w:rsid w:val="5C814A76"/>
    <w:rsid w:val="5C8A680C"/>
    <w:rsid w:val="5CA2136A"/>
    <w:rsid w:val="5CA40764"/>
    <w:rsid w:val="5CAB1AF3"/>
    <w:rsid w:val="5CBD35D4"/>
    <w:rsid w:val="5D0C4701"/>
    <w:rsid w:val="5D0F0395"/>
    <w:rsid w:val="5D156F6C"/>
    <w:rsid w:val="5D177188"/>
    <w:rsid w:val="5D221076"/>
    <w:rsid w:val="5D397964"/>
    <w:rsid w:val="5D521F6E"/>
    <w:rsid w:val="5D5A391C"/>
    <w:rsid w:val="5D5F10C0"/>
    <w:rsid w:val="5D891B7B"/>
    <w:rsid w:val="5DAD38EE"/>
    <w:rsid w:val="5DB42C29"/>
    <w:rsid w:val="5DCB1D21"/>
    <w:rsid w:val="5DD40BD5"/>
    <w:rsid w:val="5DE60909"/>
    <w:rsid w:val="5DF82358"/>
    <w:rsid w:val="5DFD2379"/>
    <w:rsid w:val="5E006862"/>
    <w:rsid w:val="5E0207B9"/>
    <w:rsid w:val="5E1834A1"/>
    <w:rsid w:val="5E261785"/>
    <w:rsid w:val="5E4A7017"/>
    <w:rsid w:val="5E552BBA"/>
    <w:rsid w:val="5E611C10"/>
    <w:rsid w:val="5E7A0F3F"/>
    <w:rsid w:val="5E7C2B3E"/>
    <w:rsid w:val="5EA22A81"/>
    <w:rsid w:val="5EBA601D"/>
    <w:rsid w:val="5EBE2EAC"/>
    <w:rsid w:val="5EDF3CD6"/>
    <w:rsid w:val="5EF13A09"/>
    <w:rsid w:val="5EFC7377"/>
    <w:rsid w:val="5F06174D"/>
    <w:rsid w:val="5F221E14"/>
    <w:rsid w:val="5F2E07B9"/>
    <w:rsid w:val="5F3A3602"/>
    <w:rsid w:val="5F45733B"/>
    <w:rsid w:val="5F491F3C"/>
    <w:rsid w:val="5F5028F9"/>
    <w:rsid w:val="5F6277C6"/>
    <w:rsid w:val="5F6D0B1D"/>
    <w:rsid w:val="5F8D0B82"/>
    <w:rsid w:val="5F922AF6"/>
    <w:rsid w:val="5FCC5339"/>
    <w:rsid w:val="5FDB26EF"/>
    <w:rsid w:val="5FE34A5B"/>
    <w:rsid w:val="5FF732A1"/>
    <w:rsid w:val="5FFE1E36"/>
    <w:rsid w:val="5FFF5CB2"/>
    <w:rsid w:val="600532C8"/>
    <w:rsid w:val="60100702"/>
    <w:rsid w:val="60232584"/>
    <w:rsid w:val="60563B24"/>
    <w:rsid w:val="606F4BE5"/>
    <w:rsid w:val="607330CE"/>
    <w:rsid w:val="607E751E"/>
    <w:rsid w:val="60825176"/>
    <w:rsid w:val="609F2AC4"/>
    <w:rsid w:val="60B81AEF"/>
    <w:rsid w:val="60C70EC5"/>
    <w:rsid w:val="60F60EB1"/>
    <w:rsid w:val="60FA2EE8"/>
    <w:rsid w:val="61054A27"/>
    <w:rsid w:val="610A52BC"/>
    <w:rsid w:val="611D2366"/>
    <w:rsid w:val="61421856"/>
    <w:rsid w:val="615227C4"/>
    <w:rsid w:val="61654E3F"/>
    <w:rsid w:val="6182292A"/>
    <w:rsid w:val="618F09D2"/>
    <w:rsid w:val="619F7F92"/>
    <w:rsid w:val="61A30FEA"/>
    <w:rsid w:val="61B56F70"/>
    <w:rsid w:val="61E11B13"/>
    <w:rsid w:val="61EE1789"/>
    <w:rsid w:val="61F94C26"/>
    <w:rsid w:val="62000E56"/>
    <w:rsid w:val="620123E4"/>
    <w:rsid w:val="622639C9"/>
    <w:rsid w:val="62404E59"/>
    <w:rsid w:val="624F3E49"/>
    <w:rsid w:val="6256605D"/>
    <w:rsid w:val="62614A02"/>
    <w:rsid w:val="62632286"/>
    <w:rsid w:val="62885958"/>
    <w:rsid w:val="62AA45FB"/>
    <w:rsid w:val="62EB0848"/>
    <w:rsid w:val="62EC0839"/>
    <w:rsid w:val="62F40B65"/>
    <w:rsid w:val="62FC2CFE"/>
    <w:rsid w:val="63024505"/>
    <w:rsid w:val="635600A5"/>
    <w:rsid w:val="635B1DB5"/>
    <w:rsid w:val="635D166D"/>
    <w:rsid w:val="63711FED"/>
    <w:rsid w:val="637864A7"/>
    <w:rsid w:val="63880DDC"/>
    <w:rsid w:val="638D750D"/>
    <w:rsid w:val="63972DD1"/>
    <w:rsid w:val="639A466F"/>
    <w:rsid w:val="63AC6CC0"/>
    <w:rsid w:val="63F21DB5"/>
    <w:rsid w:val="64055776"/>
    <w:rsid w:val="640B2E77"/>
    <w:rsid w:val="641F4B74"/>
    <w:rsid w:val="64240056"/>
    <w:rsid w:val="64332484"/>
    <w:rsid w:val="643E143A"/>
    <w:rsid w:val="64491666"/>
    <w:rsid w:val="64664551"/>
    <w:rsid w:val="6486074F"/>
    <w:rsid w:val="648B6EEF"/>
    <w:rsid w:val="64A62BA0"/>
    <w:rsid w:val="64A82DBC"/>
    <w:rsid w:val="64C158BF"/>
    <w:rsid w:val="64CE2EAA"/>
    <w:rsid w:val="64FD6C64"/>
    <w:rsid w:val="65053D6A"/>
    <w:rsid w:val="65391D96"/>
    <w:rsid w:val="653C3090"/>
    <w:rsid w:val="655D5954"/>
    <w:rsid w:val="65644F35"/>
    <w:rsid w:val="657368CF"/>
    <w:rsid w:val="65854376"/>
    <w:rsid w:val="658767BE"/>
    <w:rsid w:val="65892531"/>
    <w:rsid w:val="65A672FB"/>
    <w:rsid w:val="65B25723"/>
    <w:rsid w:val="65C111B7"/>
    <w:rsid w:val="65C47781"/>
    <w:rsid w:val="65C60144"/>
    <w:rsid w:val="660B1854"/>
    <w:rsid w:val="66195831"/>
    <w:rsid w:val="662E75B1"/>
    <w:rsid w:val="662F5543"/>
    <w:rsid w:val="66342C2E"/>
    <w:rsid w:val="663E784C"/>
    <w:rsid w:val="6669046B"/>
    <w:rsid w:val="666F49BA"/>
    <w:rsid w:val="668B6A45"/>
    <w:rsid w:val="672F3320"/>
    <w:rsid w:val="672F3F24"/>
    <w:rsid w:val="673E055F"/>
    <w:rsid w:val="674A094A"/>
    <w:rsid w:val="674D37A6"/>
    <w:rsid w:val="67551CE3"/>
    <w:rsid w:val="677551D7"/>
    <w:rsid w:val="679035A9"/>
    <w:rsid w:val="679338AF"/>
    <w:rsid w:val="67A22552"/>
    <w:rsid w:val="67A83750"/>
    <w:rsid w:val="67B22DCC"/>
    <w:rsid w:val="67BE71AA"/>
    <w:rsid w:val="67D90273"/>
    <w:rsid w:val="67DE5875"/>
    <w:rsid w:val="67E55852"/>
    <w:rsid w:val="67EB1AB4"/>
    <w:rsid w:val="67FA1285"/>
    <w:rsid w:val="68235F9D"/>
    <w:rsid w:val="6836628F"/>
    <w:rsid w:val="68551F4F"/>
    <w:rsid w:val="686D2352"/>
    <w:rsid w:val="687C10C9"/>
    <w:rsid w:val="68840C16"/>
    <w:rsid w:val="68876EFB"/>
    <w:rsid w:val="68884654"/>
    <w:rsid w:val="689F444F"/>
    <w:rsid w:val="68B96DBB"/>
    <w:rsid w:val="68C36416"/>
    <w:rsid w:val="68CA2805"/>
    <w:rsid w:val="68E937A3"/>
    <w:rsid w:val="693E15D3"/>
    <w:rsid w:val="695B664F"/>
    <w:rsid w:val="69627681"/>
    <w:rsid w:val="6977531D"/>
    <w:rsid w:val="69790883"/>
    <w:rsid w:val="697A2F79"/>
    <w:rsid w:val="697D58C7"/>
    <w:rsid w:val="69BD4C13"/>
    <w:rsid w:val="69C67F6C"/>
    <w:rsid w:val="69CC2BFF"/>
    <w:rsid w:val="69FD55B8"/>
    <w:rsid w:val="6A042842"/>
    <w:rsid w:val="6A0B1C62"/>
    <w:rsid w:val="6A2406C8"/>
    <w:rsid w:val="6A413A96"/>
    <w:rsid w:val="6A6432E1"/>
    <w:rsid w:val="6A721EA2"/>
    <w:rsid w:val="6ABE50E7"/>
    <w:rsid w:val="6ADE0BD1"/>
    <w:rsid w:val="6AE96859"/>
    <w:rsid w:val="6AEF52A0"/>
    <w:rsid w:val="6AFB1E97"/>
    <w:rsid w:val="6B147746"/>
    <w:rsid w:val="6B24787C"/>
    <w:rsid w:val="6B2F22E8"/>
    <w:rsid w:val="6B361121"/>
    <w:rsid w:val="6B412EED"/>
    <w:rsid w:val="6B573233"/>
    <w:rsid w:val="6B5B6274"/>
    <w:rsid w:val="6B5C045C"/>
    <w:rsid w:val="6B5E41D4"/>
    <w:rsid w:val="6B775E46"/>
    <w:rsid w:val="6B8933E2"/>
    <w:rsid w:val="6B935D53"/>
    <w:rsid w:val="6BCE135A"/>
    <w:rsid w:val="6BF07522"/>
    <w:rsid w:val="6C196F71"/>
    <w:rsid w:val="6C226FCB"/>
    <w:rsid w:val="6C31226F"/>
    <w:rsid w:val="6C552F0B"/>
    <w:rsid w:val="6C5E441F"/>
    <w:rsid w:val="6C663340"/>
    <w:rsid w:val="6C6677E4"/>
    <w:rsid w:val="6C8C67B7"/>
    <w:rsid w:val="6C9D744C"/>
    <w:rsid w:val="6CC30793"/>
    <w:rsid w:val="6CEC714A"/>
    <w:rsid w:val="6CF52916"/>
    <w:rsid w:val="6D042FF8"/>
    <w:rsid w:val="6D167928"/>
    <w:rsid w:val="6D237483"/>
    <w:rsid w:val="6D26299B"/>
    <w:rsid w:val="6D396CA7"/>
    <w:rsid w:val="6D4772EC"/>
    <w:rsid w:val="6D68758C"/>
    <w:rsid w:val="6D8F3676"/>
    <w:rsid w:val="6D9078AF"/>
    <w:rsid w:val="6D9B170F"/>
    <w:rsid w:val="6DAA3FEF"/>
    <w:rsid w:val="6DC0172B"/>
    <w:rsid w:val="6DCB690C"/>
    <w:rsid w:val="6DD10452"/>
    <w:rsid w:val="6DD41A5B"/>
    <w:rsid w:val="6DF43C2E"/>
    <w:rsid w:val="6DF45ADD"/>
    <w:rsid w:val="6DF51CA3"/>
    <w:rsid w:val="6E0628E0"/>
    <w:rsid w:val="6E0950DD"/>
    <w:rsid w:val="6E2711F5"/>
    <w:rsid w:val="6E3556C0"/>
    <w:rsid w:val="6E6B6DCF"/>
    <w:rsid w:val="6E8335BD"/>
    <w:rsid w:val="6E891568"/>
    <w:rsid w:val="6E8E12EF"/>
    <w:rsid w:val="6E972936"/>
    <w:rsid w:val="6ED053E9"/>
    <w:rsid w:val="6ED07EFC"/>
    <w:rsid w:val="6ED446C5"/>
    <w:rsid w:val="6F1277AF"/>
    <w:rsid w:val="6F2A7D94"/>
    <w:rsid w:val="6F3518C1"/>
    <w:rsid w:val="6F490CF7"/>
    <w:rsid w:val="6F596B1B"/>
    <w:rsid w:val="6F8331F1"/>
    <w:rsid w:val="6FAD4547"/>
    <w:rsid w:val="6FAE1A09"/>
    <w:rsid w:val="6FC7059A"/>
    <w:rsid w:val="6FC85970"/>
    <w:rsid w:val="6FD57315"/>
    <w:rsid w:val="6FD75BF8"/>
    <w:rsid w:val="6FF702F2"/>
    <w:rsid w:val="70052546"/>
    <w:rsid w:val="700A27C3"/>
    <w:rsid w:val="7040034C"/>
    <w:rsid w:val="707723D0"/>
    <w:rsid w:val="70F5661B"/>
    <w:rsid w:val="70FE1D92"/>
    <w:rsid w:val="71125845"/>
    <w:rsid w:val="71142928"/>
    <w:rsid w:val="71360107"/>
    <w:rsid w:val="713B688E"/>
    <w:rsid w:val="714C6DF8"/>
    <w:rsid w:val="71762034"/>
    <w:rsid w:val="718F3F6C"/>
    <w:rsid w:val="71B4459D"/>
    <w:rsid w:val="71D43752"/>
    <w:rsid w:val="71DB657E"/>
    <w:rsid w:val="71F15DA2"/>
    <w:rsid w:val="71F1796A"/>
    <w:rsid w:val="72154626"/>
    <w:rsid w:val="72262B5D"/>
    <w:rsid w:val="72283FF7"/>
    <w:rsid w:val="722E7212"/>
    <w:rsid w:val="72331F17"/>
    <w:rsid w:val="72367C59"/>
    <w:rsid w:val="723A0474"/>
    <w:rsid w:val="7249040E"/>
    <w:rsid w:val="7258372B"/>
    <w:rsid w:val="725923E4"/>
    <w:rsid w:val="72864BF7"/>
    <w:rsid w:val="72895FDA"/>
    <w:rsid w:val="729023FC"/>
    <w:rsid w:val="729C6C6F"/>
    <w:rsid w:val="72A76461"/>
    <w:rsid w:val="72D134DE"/>
    <w:rsid w:val="732950C8"/>
    <w:rsid w:val="735A34D3"/>
    <w:rsid w:val="736600CA"/>
    <w:rsid w:val="7370719A"/>
    <w:rsid w:val="73C0646E"/>
    <w:rsid w:val="73C117A4"/>
    <w:rsid w:val="742222F5"/>
    <w:rsid w:val="74476126"/>
    <w:rsid w:val="74706664"/>
    <w:rsid w:val="747D70A5"/>
    <w:rsid w:val="747F3682"/>
    <w:rsid w:val="74831B1D"/>
    <w:rsid w:val="749C4185"/>
    <w:rsid w:val="74BA691F"/>
    <w:rsid w:val="74EC2851"/>
    <w:rsid w:val="74EC671B"/>
    <w:rsid w:val="75067759"/>
    <w:rsid w:val="750823DC"/>
    <w:rsid w:val="750951B1"/>
    <w:rsid w:val="751C2439"/>
    <w:rsid w:val="752E6DCD"/>
    <w:rsid w:val="7551380D"/>
    <w:rsid w:val="75600BE5"/>
    <w:rsid w:val="7564475C"/>
    <w:rsid w:val="757F36C5"/>
    <w:rsid w:val="7583797F"/>
    <w:rsid w:val="758A3AC6"/>
    <w:rsid w:val="758B206A"/>
    <w:rsid w:val="75A153E9"/>
    <w:rsid w:val="75B07D22"/>
    <w:rsid w:val="75D20F1D"/>
    <w:rsid w:val="75DA2C18"/>
    <w:rsid w:val="75F46D65"/>
    <w:rsid w:val="75F54412"/>
    <w:rsid w:val="761D08E0"/>
    <w:rsid w:val="762A31AB"/>
    <w:rsid w:val="762B73A9"/>
    <w:rsid w:val="763444AF"/>
    <w:rsid w:val="76366479"/>
    <w:rsid w:val="76375D4D"/>
    <w:rsid w:val="765C7562"/>
    <w:rsid w:val="765D347C"/>
    <w:rsid w:val="768014A2"/>
    <w:rsid w:val="76826699"/>
    <w:rsid w:val="76944F4E"/>
    <w:rsid w:val="76982A88"/>
    <w:rsid w:val="76C53359"/>
    <w:rsid w:val="76C87133"/>
    <w:rsid w:val="76CD08D5"/>
    <w:rsid w:val="76DB4B92"/>
    <w:rsid w:val="76E00044"/>
    <w:rsid w:val="76E6521D"/>
    <w:rsid w:val="77052AA4"/>
    <w:rsid w:val="77136511"/>
    <w:rsid w:val="771B6126"/>
    <w:rsid w:val="77340A39"/>
    <w:rsid w:val="77351FD0"/>
    <w:rsid w:val="77472422"/>
    <w:rsid w:val="77493F8A"/>
    <w:rsid w:val="775D3592"/>
    <w:rsid w:val="777F31F2"/>
    <w:rsid w:val="77D1700D"/>
    <w:rsid w:val="77EC04CC"/>
    <w:rsid w:val="781C51FB"/>
    <w:rsid w:val="782C1CAF"/>
    <w:rsid w:val="784C3D32"/>
    <w:rsid w:val="78775729"/>
    <w:rsid w:val="78A42DB0"/>
    <w:rsid w:val="78A656AB"/>
    <w:rsid w:val="78A7540C"/>
    <w:rsid w:val="78B2245C"/>
    <w:rsid w:val="78C0027C"/>
    <w:rsid w:val="78C26204"/>
    <w:rsid w:val="78E172CC"/>
    <w:rsid w:val="78E201F2"/>
    <w:rsid w:val="78EA1D1F"/>
    <w:rsid w:val="78F85C68"/>
    <w:rsid w:val="7904172F"/>
    <w:rsid w:val="790F7E27"/>
    <w:rsid w:val="792A231A"/>
    <w:rsid w:val="79316829"/>
    <w:rsid w:val="79586707"/>
    <w:rsid w:val="79764DDF"/>
    <w:rsid w:val="797E66A9"/>
    <w:rsid w:val="798518A4"/>
    <w:rsid w:val="79A97383"/>
    <w:rsid w:val="79CD26A4"/>
    <w:rsid w:val="79E27E8B"/>
    <w:rsid w:val="79F77CCE"/>
    <w:rsid w:val="79F850CE"/>
    <w:rsid w:val="79FD443C"/>
    <w:rsid w:val="7A1C7734"/>
    <w:rsid w:val="7A1D1975"/>
    <w:rsid w:val="7A1D6E47"/>
    <w:rsid w:val="7A3C4295"/>
    <w:rsid w:val="7A3E5150"/>
    <w:rsid w:val="7A4670D6"/>
    <w:rsid w:val="7A534B63"/>
    <w:rsid w:val="7A5E1AFB"/>
    <w:rsid w:val="7A615382"/>
    <w:rsid w:val="7A67303B"/>
    <w:rsid w:val="7AA00365"/>
    <w:rsid w:val="7AAB1D04"/>
    <w:rsid w:val="7AB14D88"/>
    <w:rsid w:val="7ABA4368"/>
    <w:rsid w:val="7AD05746"/>
    <w:rsid w:val="7B095CB9"/>
    <w:rsid w:val="7B257FFD"/>
    <w:rsid w:val="7B343476"/>
    <w:rsid w:val="7B503B39"/>
    <w:rsid w:val="7B5A2978"/>
    <w:rsid w:val="7B5A7E4C"/>
    <w:rsid w:val="7B5B428C"/>
    <w:rsid w:val="7B667AF9"/>
    <w:rsid w:val="7B672C31"/>
    <w:rsid w:val="7B7468F8"/>
    <w:rsid w:val="7B7A2964"/>
    <w:rsid w:val="7B992D1C"/>
    <w:rsid w:val="7BD32074"/>
    <w:rsid w:val="7BD81D81"/>
    <w:rsid w:val="7BEE0103"/>
    <w:rsid w:val="7C0A0FE4"/>
    <w:rsid w:val="7C1A4147"/>
    <w:rsid w:val="7C254906"/>
    <w:rsid w:val="7C3D3992"/>
    <w:rsid w:val="7C590818"/>
    <w:rsid w:val="7C596A1E"/>
    <w:rsid w:val="7C730C1B"/>
    <w:rsid w:val="7C7C10F6"/>
    <w:rsid w:val="7C853BEA"/>
    <w:rsid w:val="7C881368"/>
    <w:rsid w:val="7CBC51FE"/>
    <w:rsid w:val="7CE27788"/>
    <w:rsid w:val="7D0C32F1"/>
    <w:rsid w:val="7D0F408D"/>
    <w:rsid w:val="7D1E3982"/>
    <w:rsid w:val="7D2A03BA"/>
    <w:rsid w:val="7D2C2AAE"/>
    <w:rsid w:val="7D2F09D1"/>
    <w:rsid w:val="7D491C6C"/>
    <w:rsid w:val="7D5429C0"/>
    <w:rsid w:val="7D6E6D43"/>
    <w:rsid w:val="7D9D6DDE"/>
    <w:rsid w:val="7D9F52B4"/>
    <w:rsid w:val="7DB57A34"/>
    <w:rsid w:val="7DBA173E"/>
    <w:rsid w:val="7DE60973"/>
    <w:rsid w:val="7DEB5D9B"/>
    <w:rsid w:val="7DEF0916"/>
    <w:rsid w:val="7DF146EC"/>
    <w:rsid w:val="7E192D13"/>
    <w:rsid w:val="7E1E5218"/>
    <w:rsid w:val="7E3E1D90"/>
    <w:rsid w:val="7E3F3602"/>
    <w:rsid w:val="7E5020A2"/>
    <w:rsid w:val="7E7A711F"/>
    <w:rsid w:val="7E8A7362"/>
    <w:rsid w:val="7E9A4E1F"/>
    <w:rsid w:val="7EA50475"/>
    <w:rsid w:val="7EA7723A"/>
    <w:rsid w:val="7ECA59B1"/>
    <w:rsid w:val="7EEB3401"/>
    <w:rsid w:val="7EF05EEA"/>
    <w:rsid w:val="7EF56FBB"/>
    <w:rsid w:val="7F0768EB"/>
    <w:rsid w:val="7F143BEC"/>
    <w:rsid w:val="7F272E03"/>
    <w:rsid w:val="7F553BE6"/>
    <w:rsid w:val="7F715AF2"/>
    <w:rsid w:val="7F886E69"/>
    <w:rsid w:val="7F8E7913"/>
    <w:rsid w:val="BB7FA927"/>
    <w:rsid w:val="F5FFD31F"/>
    <w:rsid w:val="FFCF17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autoRedefine/>
    <w:qFormat/>
    <w:uiPriority w:val="9"/>
    <w:pPr>
      <w:keepNext/>
      <w:keepLines/>
      <w:tabs>
        <w:tab w:val="left" w:pos="432"/>
      </w:tabs>
      <w:spacing w:before="100" w:beforeAutospacing="1" w:after="100" w:afterAutospacing="1" w:line="578" w:lineRule="auto"/>
      <w:ind w:left="431" w:hanging="431"/>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6"/>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1"/>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2"/>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Lines="50"/>
      <w:ind w:left="454" w:hanging="284"/>
      <w:jc w:val="left"/>
    </w:pPr>
    <w:rPr>
      <w:kern w:val="0"/>
      <w:sz w:val="24"/>
      <w:szCs w:val="20"/>
    </w:rPr>
  </w:style>
  <w:style w:type="paragraph" w:styleId="16">
    <w:name w:val="caption"/>
    <w:basedOn w:val="1"/>
    <w:next w:val="1"/>
    <w:link w:val="228"/>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1"/>
    <w:autoRedefine/>
    <w:qFormat/>
    <w:uiPriority w:val="0"/>
    <w:pPr>
      <w:shd w:val="clear" w:color="auto" w:fill="000080"/>
    </w:pPr>
  </w:style>
  <w:style w:type="paragraph" w:styleId="19">
    <w:name w:val="annotation text"/>
    <w:basedOn w:val="1"/>
    <w:link w:val="343"/>
    <w:autoRedefine/>
    <w:qFormat/>
    <w:uiPriority w:val="99"/>
    <w:pPr>
      <w:jc w:val="left"/>
    </w:pPr>
  </w:style>
  <w:style w:type="paragraph" w:styleId="20">
    <w:name w:val="Salutation"/>
    <w:basedOn w:val="1"/>
    <w:next w:val="1"/>
    <w:link w:val="297"/>
    <w:autoRedefine/>
    <w:qFormat/>
    <w:uiPriority w:val="0"/>
    <w:rPr>
      <w:rFonts w:ascii="仿宋_GB2312" w:eastAsia="仿宋_GB2312"/>
      <w:sz w:val="28"/>
      <w:szCs w:val="20"/>
    </w:rPr>
  </w:style>
  <w:style w:type="paragraph" w:styleId="21">
    <w:name w:val="Body Text 3"/>
    <w:basedOn w:val="1"/>
    <w:link w:val="329"/>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next w:val="24"/>
    <w:link w:val="429"/>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link w:val="320"/>
    <w:autoRedefine/>
    <w:qFormat/>
    <w:uiPriority w:val="0"/>
    <w:pPr>
      <w:ind w:firstLine="420"/>
    </w:pPr>
    <w:rPr>
      <w:rFonts w:hAnsi="Calibri" w:cs="Times New Roman"/>
      <w:snapToGrid/>
      <w:szCs w:val="20"/>
    </w:rPr>
  </w:style>
  <w:style w:type="paragraph" w:styleId="25">
    <w:name w:val="Body Text Indent"/>
    <w:basedOn w:val="1"/>
    <w:next w:val="26"/>
    <w:link w:val="264"/>
    <w:autoRedefine/>
    <w:qFormat/>
    <w:uiPriority w:val="0"/>
    <w:pPr>
      <w:spacing w:line="480" w:lineRule="exact"/>
      <w:ind w:firstLine="480" w:firstLineChars="200"/>
    </w:pPr>
    <w:rPr>
      <w:rFonts w:ascii="宋体" w:hAnsi="宋体"/>
      <w:sz w:val="24"/>
    </w:rPr>
  </w:style>
  <w:style w:type="paragraph" w:styleId="26">
    <w:name w:val="Body Text First Indent 2"/>
    <w:basedOn w:val="25"/>
    <w:link w:val="120"/>
    <w:autoRedefine/>
    <w:qFormat/>
    <w:uiPriority w:val="0"/>
    <w:pPr>
      <w:adjustRightInd/>
      <w:spacing w:after="120" w:line="240" w:lineRule="auto"/>
      <w:ind w:left="420" w:leftChars="200" w:firstLine="210"/>
    </w:pPr>
    <w:rPr>
      <w:sz w:val="21"/>
    </w:rPr>
  </w:style>
  <w:style w:type="paragraph" w:styleId="27">
    <w:name w:val="List Number 3"/>
    <w:basedOn w:val="1"/>
    <w:autoRedefine/>
    <w:qFormat/>
    <w:uiPriority w:val="0"/>
    <w:pPr>
      <w:widowControl/>
      <w:tabs>
        <w:tab w:val="left" w:pos="360"/>
        <w:tab w:val="left" w:pos="482"/>
      </w:tabs>
      <w:adjustRightInd/>
      <w:spacing w:afterLines="50"/>
      <w:ind w:left="482" w:hanging="340"/>
      <w:jc w:val="left"/>
    </w:pPr>
    <w:rPr>
      <w:kern w:val="0"/>
      <w:sz w:val="24"/>
      <w:szCs w:val="20"/>
    </w:rPr>
  </w:style>
  <w:style w:type="paragraph" w:styleId="28">
    <w:name w:val="List 2"/>
    <w:basedOn w:val="1"/>
    <w:autoRedefine/>
    <w:qFormat/>
    <w:uiPriority w:val="0"/>
    <w:pPr>
      <w:adjustRightInd/>
      <w:spacing w:line="360" w:lineRule="auto"/>
      <w:ind w:left="100" w:leftChars="200" w:hanging="200" w:hangingChars="200"/>
    </w:pPr>
    <w:rPr>
      <w:rFonts w:eastAsia="微软雅黑"/>
    </w:rPr>
  </w:style>
  <w:style w:type="paragraph" w:styleId="29">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8"/>
    <w:autoRedefine/>
    <w:qFormat/>
    <w:uiPriority w:val="0"/>
    <w:pPr>
      <w:widowControl/>
      <w:adjustRightInd/>
      <w:ind w:firstLine="200" w:firstLineChars="200"/>
      <w:jc w:val="left"/>
    </w:pPr>
    <w:rPr>
      <w:rFonts w:ascii="宋体" w:hAnsi="宋体"/>
      <w:i/>
      <w:iCs/>
      <w:kern w:val="0"/>
      <w:sz w:val="24"/>
    </w:rPr>
  </w:style>
  <w:style w:type="paragraph" w:styleId="32">
    <w:name w:val="toc 5"/>
    <w:basedOn w:val="1"/>
    <w:next w:val="1"/>
    <w:autoRedefine/>
    <w:qFormat/>
    <w:uiPriority w:val="0"/>
    <w:pPr>
      <w:ind w:left="1680" w:leftChars="800"/>
    </w:pPr>
  </w:style>
  <w:style w:type="paragraph" w:styleId="33">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4"/>
    <w:autoRedefine/>
    <w:qFormat/>
    <w:uiPriority w:val="0"/>
    <w:rPr>
      <w:rFonts w:ascii="宋体" w:hAnsi="Courier New" w:cs="Arial"/>
      <w:snapToGrid w:val="0"/>
      <w:szCs w:val="21"/>
    </w:rPr>
  </w:style>
  <w:style w:type="paragraph" w:styleId="35">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autoRedefine/>
    <w:qFormat/>
    <w:uiPriority w:val="0"/>
    <w:pPr>
      <w:ind w:left="2940" w:leftChars="1400"/>
    </w:pPr>
  </w:style>
  <w:style w:type="paragraph" w:styleId="37">
    <w:name w:val="Date"/>
    <w:basedOn w:val="1"/>
    <w:next w:val="1"/>
    <w:link w:val="180"/>
    <w:autoRedefine/>
    <w:qFormat/>
    <w:uiPriority w:val="0"/>
    <w:pPr>
      <w:ind w:left="100" w:leftChars="2500"/>
    </w:pPr>
    <w:rPr>
      <w:rFonts w:ascii="宋体"/>
      <w:sz w:val="24"/>
      <w:szCs w:val="21"/>
      <w:lang w:val="zh-CN"/>
    </w:rPr>
  </w:style>
  <w:style w:type="paragraph" w:styleId="38">
    <w:name w:val="Body Text Indent 2"/>
    <w:basedOn w:val="1"/>
    <w:link w:val="307"/>
    <w:autoRedefine/>
    <w:qFormat/>
    <w:uiPriority w:val="0"/>
    <w:pPr>
      <w:spacing w:line="360" w:lineRule="auto"/>
      <w:ind w:firstLine="601"/>
      <w:textAlignment w:val="baseline"/>
    </w:pPr>
    <w:rPr>
      <w:rFonts w:ascii="宋体"/>
      <w:kern w:val="0"/>
      <w:sz w:val="28"/>
      <w:szCs w:val="20"/>
    </w:rPr>
  </w:style>
  <w:style w:type="paragraph" w:styleId="39">
    <w:name w:val="endnote text"/>
    <w:basedOn w:val="1"/>
    <w:link w:val="931"/>
    <w:autoRedefine/>
    <w:qFormat/>
    <w:uiPriority w:val="0"/>
    <w:rPr>
      <w:lang w:val="zh-CN"/>
    </w:rPr>
  </w:style>
  <w:style w:type="paragraph" w:styleId="40">
    <w:name w:val="Balloon Text"/>
    <w:basedOn w:val="1"/>
    <w:link w:val="187"/>
    <w:autoRedefine/>
    <w:qFormat/>
    <w:uiPriority w:val="0"/>
    <w:rPr>
      <w:sz w:val="18"/>
      <w:szCs w:val="18"/>
    </w:rPr>
  </w:style>
  <w:style w:type="paragraph" w:styleId="41">
    <w:name w:val="footer"/>
    <w:basedOn w:val="1"/>
    <w:link w:val="382"/>
    <w:autoRedefine/>
    <w:qFormat/>
    <w:uiPriority w:val="99"/>
    <w:pPr>
      <w:tabs>
        <w:tab w:val="center" w:pos="4153"/>
        <w:tab w:val="right" w:pos="8306"/>
      </w:tabs>
      <w:snapToGrid w:val="0"/>
      <w:jc w:val="left"/>
    </w:pPr>
    <w:rPr>
      <w:sz w:val="18"/>
      <w:szCs w:val="18"/>
    </w:rPr>
  </w:style>
  <w:style w:type="paragraph" w:styleId="42">
    <w:name w:val="envelope return"/>
    <w:basedOn w:val="1"/>
    <w:autoRedefine/>
    <w:qFormat/>
    <w:uiPriority w:val="0"/>
    <w:pPr>
      <w:widowControl/>
      <w:snapToGrid w:val="0"/>
      <w:spacing w:after="200"/>
      <w:jc w:val="left"/>
    </w:pPr>
    <w:rPr>
      <w:rFonts w:ascii="Arial" w:hAnsi="Arial" w:eastAsia="微软雅黑"/>
      <w:kern w:val="0"/>
      <w:sz w:val="22"/>
      <w:szCs w:val="22"/>
    </w:rPr>
  </w:style>
  <w:style w:type="paragraph" w:styleId="43">
    <w:name w:val="header"/>
    <w:basedOn w:val="1"/>
    <w:link w:val="391"/>
    <w:autoRedefine/>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4"/>
    <w:autoRedefine/>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autoRedefine/>
    <w:qFormat/>
    <w:uiPriority w:val="0"/>
  </w:style>
  <w:style w:type="paragraph" w:styleId="46">
    <w:name w:val="toc 4"/>
    <w:basedOn w:val="1"/>
    <w:next w:val="1"/>
    <w:autoRedefine/>
    <w:qFormat/>
    <w:uiPriority w:val="0"/>
    <w:pPr>
      <w:ind w:left="1260" w:leftChars="600"/>
    </w:pPr>
  </w:style>
  <w:style w:type="paragraph" w:styleId="47">
    <w:name w:val="index heading"/>
    <w:basedOn w:val="1"/>
    <w:next w:val="48"/>
    <w:autoRedefine/>
    <w:qFormat/>
    <w:uiPriority w:val="0"/>
    <w:pPr>
      <w:adjustRightInd/>
      <w:ind w:firstLine="200" w:firstLineChars="200"/>
    </w:pPr>
  </w:style>
  <w:style w:type="paragraph" w:styleId="48">
    <w:name w:val="index 1"/>
    <w:basedOn w:val="1"/>
    <w:next w:val="1"/>
    <w:autoRedefine/>
    <w:qFormat/>
    <w:uiPriority w:val="0"/>
    <w:pPr>
      <w:adjustRightInd/>
      <w:spacing w:line="360" w:lineRule="auto"/>
      <w:ind w:firstLine="200" w:firstLineChars="200"/>
      <w:jc w:val="center"/>
    </w:pPr>
    <w:rPr>
      <w:sz w:val="24"/>
      <w:szCs w:val="20"/>
    </w:rPr>
  </w:style>
  <w:style w:type="paragraph" w:styleId="49">
    <w:name w:val="Subtitle"/>
    <w:link w:val="132"/>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autoRedefine/>
    <w:qFormat/>
    <w:uiPriority w:val="0"/>
    <w:pPr>
      <w:tabs>
        <w:tab w:val="left" w:pos="902"/>
      </w:tabs>
      <w:adjustRightInd/>
      <w:spacing w:line="400" w:lineRule="exact"/>
      <w:ind w:left="902" w:hanging="420"/>
    </w:pPr>
    <w:rPr>
      <w:sz w:val="24"/>
      <w:szCs w:val="20"/>
    </w:rPr>
  </w:style>
  <w:style w:type="paragraph" w:styleId="51">
    <w:name w:val="List"/>
    <w:basedOn w:val="1"/>
    <w:next w:val="1"/>
    <w:autoRedefine/>
    <w:qFormat/>
    <w:uiPriority w:val="0"/>
    <w:pPr>
      <w:ind w:left="200" w:hanging="200" w:hangingChars="200"/>
    </w:pPr>
  </w:style>
  <w:style w:type="paragraph" w:styleId="52">
    <w:name w:val="footnote text"/>
    <w:basedOn w:val="5"/>
    <w:link w:val="309"/>
    <w:autoRedefine/>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autoRedefine/>
    <w:qFormat/>
    <w:uiPriority w:val="0"/>
    <w:pPr>
      <w:ind w:left="2100" w:leftChars="1000"/>
    </w:pPr>
  </w:style>
  <w:style w:type="paragraph" w:styleId="54">
    <w:name w:val="List 5"/>
    <w:basedOn w:val="1"/>
    <w:autoRedefine/>
    <w:qFormat/>
    <w:uiPriority w:val="0"/>
    <w:pPr>
      <w:adjustRightInd/>
      <w:ind w:left="100" w:leftChars="800" w:hanging="200" w:hangingChars="200"/>
    </w:pPr>
  </w:style>
  <w:style w:type="paragraph" w:styleId="55">
    <w:name w:val="Body Text Indent 3"/>
    <w:basedOn w:val="1"/>
    <w:link w:val="374"/>
    <w:autoRedefine/>
    <w:qFormat/>
    <w:uiPriority w:val="0"/>
    <w:pPr>
      <w:spacing w:line="360" w:lineRule="auto"/>
      <w:ind w:firstLine="420"/>
    </w:pPr>
    <w:rPr>
      <w:sz w:val="24"/>
      <w:szCs w:val="20"/>
    </w:rPr>
  </w:style>
  <w:style w:type="paragraph" w:styleId="56">
    <w:name w:val="toc 2"/>
    <w:basedOn w:val="1"/>
    <w:next w:val="1"/>
    <w:autoRedefine/>
    <w:qFormat/>
    <w:uiPriority w:val="0"/>
    <w:pPr>
      <w:ind w:left="420" w:leftChars="200"/>
    </w:pPr>
  </w:style>
  <w:style w:type="paragraph" w:styleId="57">
    <w:name w:val="toc 9"/>
    <w:basedOn w:val="1"/>
    <w:next w:val="1"/>
    <w:autoRedefine/>
    <w:qFormat/>
    <w:uiPriority w:val="0"/>
    <w:pPr>
      <w:ind w:left="3360" w:leftChars="1600"/>
    </w:pPr>
  </w:style>
  <w:style w:type="paragraph" w:styleId="58">
    <w:name w:val="Body Text 2"/>
    <w:basedOn w:val="1"/>
    <w:link w:val="301"/>
    <w:autoRedefine/>
    <w:qFormat/>
    <w:uiPriority w:val="0"/>
    <w:pPr>
      <w:spacing w:after="120" w:line="480" w:lineRule="auto"/>
    </w:pPr>
  </w:style>
  <w:style w:type="paragraph" w:styleId="59">
    <w:name w:val="HTML Preformatted"/>
    <w:basedOn w:val="1"/>
    <w:link w:val="3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5"/>
    <w:autoRedefine/>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19"/>
    <w:next w:val="19"/>
    <w:link w:val="95"/>
    <w:autoRedefine/>
    <w:qFormat/>
    <w:uiPriority w:val="0"/>
    <w:rPr>
      <w:b/>
      <w:bCs/>
    </w:rPr>
  </w:style>
  <w:style w:type="table" w:styleId="64">
    <w:name w:val="Table Grid"/>
    <w:basedOn w:val="6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autoRedefine/>
    <w:qFormat/>
    <w:uiPriority w:val="22"/>
    <w:rPr>
      <w:b/>
      <w:bCs/>
    </w:rPr>
  </w:style>
  <w:style w:type="character" w:styleId="72">
    <w:name w:val="endnote reference"/>
    <w:autoRedefine/>
    <w:qFormat/>
    <w:uiPriority w:val="0"/>
    <w:rPr>
      <w:vertAlign w:val="superscript"/>
    </w:rPr>
  </w:style>
  <w:style w:type="character" w:styleId="73">
    <w:name w:val="page number"/>
    <w:basedOn w:val="70"/>
    <w:autoRedefine/>
    <w:qFormat/>
    <w:uiPriority w:val="0"/>
    <w:rPr>
      <w:rFonts w:ascii="Arial" w:hAnsi="Arial" w:eastAsia="黑体" w:cs="Arial"/>
      <w:snapToGrid w:val="0"/>
      <w:kern w:val="0"/>
      <w:szCs w:val="21"/>
    </w:rPr>
  </w:style>
  <w:style w:type="character" w:styleId="74">
    <w:name w:val="FollowedHyperlink"/>
    <w:autoRedefine/>
    <w:qFormat/>
    <w:uiPriority w:val="99"/>
    <w:rPr>
      <w:rFonts w:ascii="Arial" w:hAnsi="Arial" w:eastAsia="黑体" w:cs="Arial"/>
      <w:snapToGrid w:val="0"/>
      <w:color w:val="000000"/>
      <w:kern w:val="0"/>
      <w:sz w:val="18"/>
      <w:szCs w:val="18"/>
      <w:u w:val="none"/>
    </w:rPr>
  </w:style>
  <w:style w:type="character" w:styleId="75">
    <w:name w:val="Emphasis"/>
    <w:autoRedefine/>
    <w:qFormat/>
    <w:uiPriority w:val="20"/>
    <w:rPr>
      <w:color w:val="CC0033"/>
    </w:rPr>
  </w:style>
  <w:style w:type="character" w:styleId="76">
    <w:name w:val="line number"/>
    <w:basedOn w:val="70"/>
    <w:autoRedefine/>
    <w:qFormat/>
    <w:uiPriority w:val="0"/>
    <w:rPr>
      <w:rFonts w:ascii="Arial" w:hAnsi="Arial" w:eastAsia="黑体" w:cs="Arial"/>
      <w:snapToGrid w:val="0"/>
      <w:kern w:val="0"/>
      <w:szCs w:val="21"/>
    </w:rPr>
  </w:style>
  <w:style w:type="character" w:styleId="77">
    <w:name w:val="Hyperlink"/>
    <w:basedOn w:val="70"/>
    <w:autoRedefine/>
    <w:qFormat/>
    <w:uiPriority w:val="99"/>
    <w:rPr>
      <w:rFonts w:ascii="Arial" w:hAnsi="Arial" w:eastAsia="黑体" w:cs="Arial"/>
      <w:snapToGrid w:val="0"/>
      <w:color w:val="000000"/>
      <w:kern w:val="0"/>
      <w:sz w:val="18"/>
      <w:szCs w:val="18"/>
      <w:u w:val="none"/>
    </w:rPr>
  </w:style>
  <w:style w:type="character" w:styleId="78">
    <w:name w:val="HTML Code"/>
    <w:autoRedefine/>
    <w:qFormat/>
    <w:uiPriority w:val="0"/>
    <w:rPr>
      <w:rFonts w:ascii="黑体" w:hAnsi="Courier New" w:eastAsia="黑体" w:cs="楷体_GB2312"/>
      <w:sz w:val="20"/>
      <w:szCs w:val="20"/>
    </w:rPr>
  </w:style>
  <w:style w:type="character" w:styleId="79">
    <w:name w:val="annotation reference"/>
    <w:autoRedefine/>
    <w:qFormat/>
    <w:uiPriority w:val="99"/>
    <w:rPr>
      <w:sz w:val="21"/>
      <w:szCs w:val="21"/>
    </w:rPr>
  </w:style>
  <w:style w:type="paragraph" w:customStyle="1" w:styleId="80">
    <w:name w:val="Style1"/>
    <w:autoRedefine/>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character" w:customStyle="1" w:styleId="81">
    <w:name w:val="表格非标题文字 Char"/>
    <w:link w:val="82"/>
    <w:autoRedefine/>
    <w:qFormat/>
    <w:uiPriority w:val="0"/>
    <w:rPr>
      <w:rFonts w:ascii="Futura Bk" w:hAnsi="Futura Bk"/>
      <w:kern w:val="2"/>
      <w:sz w:val="18"/>
      <w:szCs w:val="21"/>
      <w:lang w:val="en-US" w:eastAsia="zh-CN" w:bidi="ar-SA"/>
    </w:rPr>
  </w:style>
  <w:style w:type="paragraph" w:customStyle="1" w:styleId="82">
    <w:name w:val="表格非标题文字"/>
    <w:link w:val="81"/>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autoRedefine/>
    <w:qFormat/>
    <w:locked/>
    <w:uiPriority w:val="0"/>
    <w:rPr>
      <w:rFonts w:ascii="宋体" w:hAnsi="宋体"/>
      <w:sz w:val="24"/>
    </w:rPr>
  </w:style>
  <w:style w:type="paragraph" w:customStyle="1" w:styleId="84">
    <w:name w:val="*正文"/>
    <w:basedOn w:val="1"/>
    <w:link w:val="83"/>
    <w:autoRedefine/>
    <w:qFormat/>
    <w:uiPriority w:val="0"/>
    <w:pPr>
      <w:snapToGrid w:val="0"/>
      <w:spacing w:line="360" w:lineRule="auto"/>
      <w:ind w:firstLine="482"/>
      <w:jc w:val="left"/>
    </w:pPr>
    <w:rPr>
      <w:rFonts w:ascii="宋体" w:hAnsi="宋体"/>
      <w:kern w:val="0"/>
      <w:sz w:val="24"/>
      <w:szCs w:val="20"/>
    </w:rPr>
  </w:style>
  <w:style w:type="character" w:customStyle="1" w:styleId="85">
    <w:name w:val="Char Char71"/>
    <w:autoRedefine/>
    <w:semiHidden/>
    <w:qFormat/>
    <w:uiPriority w:val="0"/>
    <w:rPr>
      <w:rFonts w:eastAsia="宋体"/>
      <w:kern w:val="2"/>
      <w:sz w:val="21"/>
      <w:szCs w:val="24"/>
      <w:lang w:val="en-US" w:eastAsia="zh-CN" w:bidi="ar-SA"/>
    </w:rPr>
  </w:style>
  <w:style w:type="character" w:customStyle="1" w:styleId="86">
    <w:name w:val="Char Char6"/>
    <w:autoRedefine/>
    <w:qFormat/>
    <w:uiPriority w:val="0"/>
    <w:rPr>
      <w:rFonts w:eastAsia="宋体"/>
      <w:kern w:val="2"/>
      <w:sz w:val="21"/>
      <w:szCs w:val="24"/>
      <w:lang w:val="en-US" w:eastAsia="zh-CN" w:bidi="ar-SA"/>
    </w:rPr>
  </w:style>
  <w:style w:type="character" w:customStyle="1" w:styleId="87">
    <w:name w:val="正文缩进 Char"/>
    <w:autoRedefine/>
    <w:qFormat/>
    <w:uiPriority w:val="0"/>
    <w:rPr>
      <w:rFonts w:eastAsia="宋体"/>
      <w:kern w:val="2"/>
      <w:sz w:val="21"/>
      <w:lang w:val="en-US" w:eastAsia="zh-CN"/>
    </w:rPr>
  </w:style>
  <w:style w:type="character" w:customStyle="1" w:styleId="88">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89">
    <w:name w:val="Char Char28"/>
    <w:autoRedefine/>
    <w:qFormat/>
    <w:uiPriority w:val="6"/>
    <w:rPr>
      <w:rFonts w:ascii="仿宋_GB2312" w:hAnsi="仿宋_GB2312" w:eastAsia="仿宋_GB2312"/>
      <w:kern w:val="1"/>
      <w:sz w:val="28"/>
    </w:rPr>
  </w:style>
  <w:style w:type="character" w:customStyle="1" w:styleId="90">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autoRedefine/>
    <w:qFormat/>
    <w:uiPriority w:val="6"/>
    <w:rPr>
      <w:rFonts w:ascii="Times New Roman" w:hAnsi="Times New Roman" w:eastAsia="黑体" w:cs="Times New Roman"/>
      <w:b/>
      <w:kern w:val="0"/>
      <w:sz w:val="24"/>
      <w:szCs w:val="24"/>
    </w:rPr>
  </w:style>
  <w:style w:type="character" w:customStyle="1" w:styleId="92">
    <w:name w:val="U_正文 Char"/>
    <w:link w:val="93"/>
    <w:autoRedefine/>
    <w:qFormat/>
    <w:uiPriority w:val="0"/>
    <w:rPr>
      <w:sz w:val="24"/>
      <w:szCs w:val="24"/>
    </w:rPr>
  </w:style>
  <w:style w:type="paragraph" w:customStyle="1" w:styleId="93">
    <w:name w:val="U_正文"/>
    <w:basedOn w:val="1"/>
    <w:link w:val="92"/>
    <w:autoRedefine/>
    <w:qFormat/>
    <w:uiPriority w:val="0"/>
    <w:pPr>
      <w:adjustRightInd/>
      <w:spacing w:beforeLines="20" w:afterLines="20" w:line="300" w:lineRule="auto"/>
      <w:ind w:firstLine="200" w:firstLineChars="200"/>
    </w:pPr>
    <w:rPr>
      <w:kern w:val="0"/>
      <w:sz w:val="24"/>
    </w:rPr>
  </w:style>
  <w:style w:type="character" w:customStyle="1" w:styleId="94">
    <w:name w:val="HTML 地址 Char1"/>
    <w:autoRedefine/>
    <w:qFormat/>
    <w:uiPriority w:val="0"/>
    <w:rPr>
      <w:rFonts w:ascii="Times New Roman" w:hAnsi="Times New Roman" w:eastAsia="宋体" w:cs="Times New Roman"/>
      <w:i/>
      <w:iCs/>
      <w:szCs w:val="24"/>
    </w:rPr>
  </w:style>
  <w:style w:type="character" w:customStyle="1" w:styleId="95">
    <w:name w:val="批注主题 Char1"/>
    <w:link w:val="62"/>
    <w:autoRedefine/>
    <w:qFormat/>
    <w:uiPriority w:val="0"/>
    <w:rPr>
      <w:b/>
      <w:bCs/>
      <w:kern w:val="2"/>
      <w:sz w:val="21"/>
      <w:szCs w:val="24"/>
    </w:rPr>
  </w:style>
  <w:style w:type="character" w:customStyle="1" w:styleId="96">
    <w:name w:val="Char Char51"/>
    <w:autoRedefine/>
    <w:qFormat/>
    <w:uiPriority w:val="0"/>
    <w:rPr>
      <w:rFonts w:ascii="宋体" w:hAnsi="Courier New" w:eastAsia="宋体"/>
      <w:kern w:val="2"/>
      <w:sz w:val="21"/>
      <w:lang w:val="en-US" w:eastAsia="zh-CN"/>
    </w:rPr>
  </w:style>
  <w:style w:type="character" w:customStyle="1" w:styleId="97">
    <w:name w:val="表正文 Char"/>
    <w:autoRedefine/>
    <w:qFormat/>
    <w:uiPriority w:val="0"/>
    <w:rPr>
      <w:rFonts w:ascii="宋体" w:eastAsia="宋体"/>
      <w:snapToGrid w:val="0"/>
      <w:color w:val="000000"/>
      <w:kern w:val="28"/>
      <w:sz w:val="28"/>
      <w:lang w:val="en-US" w:eastAsia="zh-CN" w:bidi="ar-SA"/>
    </w:rPr>
  </w:style>
  <w:style w:type="character" w:customStyle="1" w:styleId="98">
    <w:name w:val="Char Char34"/>
    <w:autoRedefine/>
    <w:qFormat/>
    <w:uiPriority w:val="6"/>
    <w:rPr>
      <w:b/>
      <w:kern w:val="1"/>
      <w:sz w:val="28"/>
      <w:szCs w:val="28"/>
    </w:rPr>
  </w:style>
  <w:style w:type="character" w:customStyle="1" w:styleId="99">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autoRedefine/>
    <w:qFormat/>
    <w:uiPriority w:val="0"/>
    <w:rPr>
      <w:rFonts w:ascii="宋体" w:hAnsi="宋体" w:eastAsia="宋体"/>
      <w:kern w:val="2"/>
      <w:sz w:val="24"/>
      <w:lang w:bidi="ar-SA"/>
    </w:rPr>
  </w:style>
  <w:style w:type="paragraph" w:customStyle="1" w:styleId="101">
    <w:name w:val="哈哈正文"/>
    <w:basedOn w:val="1"/>
    <w:link w:val="100"/>
    <w:autoRedefine/>
    <w:qFormat/>
    <w:uiPriority w:val="0"/>
    <w:pPr>
      <w:adjustRightInd/>
      <w:spacing w:line="360" w:lineRule="auto"/>
      <w:ind w:firstLine="200" w:firstLineChars="200"/>
    </w:pPr>
    <w:rPr>
      <w:rFonts w:ascii="宋体" w:hAnsi="宋体"/>
      <w:sz w:val="24"/>
      <w:szCs w:val="20"/>
    </w:rPr>
  </w:style>
  <w:style w:type="character" w:customStyle="1" w:styleId="102">
    <w:name w:val="未处理的提及1"/>
    <w:autoRedefine/>
    <w:qFormat/>
    <w:uiPriority w:val="0"/>
    <w:rPr>
      <w:color w:val="808080"/>
      <w:shd w:val="clear" w:color="auto" w:fill="E6E6E6"/>
    </w:rPr>
  </w:style>
  <w:style w:type="character" w:customStyle="1" w:styleId="103">
    <w:name w:val="txt"/>
    <w:autoRedefine/>
    <w:qFormat/>
    <w:uiPriority w:val="0"/>
    <w:rPr>
      <w:rFonts w:ascii="仿宋_GB2312" w:eastAsia="微软雅黑"/>
      <w:b/>
      <w:kern w:val="2"/>
      <w:sz w:val="32"/>
      <w:szCs w:val="32"/>
      <w:lang w:val="en-US" w:eastAsia="zh-CN" w:bidi="ar-SA"/>
    </w:rPr>
  </w:style>
  <w:style w:type="character" w:customStyle="1" w:styleId="104">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5">
    <w:name w:val="Char Char32"/>
    <w:autoRedefine/>
    <w:qFormat/>
    <w:uiPriority w:val="6"/>
    <w:rPr>
      <w:b/>
      <w:kern w:val="1"/>
      <w:sz w:val="24"/>
      <w:szCs w:val="24"/>
    </w:rPr>
  </w:style>
  <w:style w:type="character" w:customStyle="1" w:styleId="106">
    <w:name w:val="PI Char1"/>
    <w:autoRedefine/>
    <w:qFormat/>
    <w:uiPriority w:val="0"/>
    <w:rPr>
      <w:rFonts w:ascii="宋体" w:hAnsi="宋体"/>
      <w:kern w:val="2"/>
      <w:sz w:val="24"/>
      <w:szCs w:val="24"/>
    </w:rPr>
  </w:style>
  <w:style w:type="character" w:customStyle="1" w:styleId="107">
    <w:name w:val="tw4winTerm"/>
    <w:autoRedefine/>
    <w:qFormat/>
    <w:uiPriority w:val="0"/>
    <w:rPr>
      <w:color w:val="0000FF"/>
    </w:rPr>
  </w:style>
  <w:style w:type="character" w:customStyle="1" w:styleId="108">
    <w:name w:val="Footer Char"/>
    <w:autoRedefine/>
    <w:qFormat/>
    <w:locked/>
    <w:uiPriority w:val="0"/>
    <w:rPr>
      <w:rFonts w:eastAsia="宋体"/>
      <w:kern w:val="2"/>
      <w:sz w:val="18"/>
      <w:lang w:val="en-US" w:eastAsia="zh-CN" w:bidi="ar-SA"/>
    </w:rPr>
  </w:style>
  <w:style w:type="character" w:customStyle="1" w:styleId="109">
    <w:name w:val="普通文字 Char Char1"/>
    <w:autoRedefine/>
    <w:qFormat/>
    <w:uiPriority w:val="0"/>
    <w:rPr>
      <w:rFonts w:ascii="宋体" w:hAnsi="Courier New"/>
      <w:kern w:val="2"/>
      <w:sz w:val="21"/>
    </w:rPr>
  </w:style>
  <w:style w:type="character" w:customStyle="1" w:styleId="110">
    <w:name w:val="Char Char101"/>
    <w:autoRedefine/>
    <w:qFormat/>
    <w:uiPriority w:val="6"/>
    <w:rPr>
      <w:rFonts w:ascii="宋体" w:hAnsi="宋体"/>
      <w:kern w:val="2"/>
      <w:sz w:val="21"/>
      <w:szCs w:val="24"/>
      <w:lang w:val="en-US" w:eastAsia="zh-CN"/>
    </w:rPr>
  </w:style>
  <w:style w:type="character" w:customStyle="1" w:styleId="111">
    <w:name w:val="标题 4 Char"/>
    <w:autoRedefine/>
    <w:qFormat/>
    <w:uiPriority w:val="0"/>
    <w:rPr>
      <w:rFonts w:ascii="Arial" w:hAnsi="Arial" w:eastAsia="黑体"/>
      <w:b/>
      <w:kern w:val="2"/>
      <w:sz w:val="28"/>
    </w:rPr>
  </w:style>
  <w:style w:type="character" w:customStyle="1" w:styleId="112">
    <w:name w:val="链接"/>
    <w:autoRedefine/>
    <w:qFormat/>
    <w:uiPriority w:val="0"/>
    <w:rPr>
      <w:color w:val="0000FF"/>
      <w:sz w:val="21"/>
      <w:szCs w:val="21"/>
      <w:u w:val="single"/>
    </w:rPr>
  </w:style>
  <w:style w:type="character" w:customStyle="1" w:styleId="113">
    <w:name w:val="h4 Char"/>
    <w:autoRedefine/>
    <w:qFormat/>
    <w:uiPriority w:val="0"/>
    <w:rPr>
      <w:rFonts w:ascii="Arial" w:hAnsi="Arial" w:eastAsia="黑体"/>
      <w:b/>
      <w:bCs/>
      <w:kern w:val="2"/>
      <w:sz w:val="28"/>
      <w:szCs w:val="28"/>
      <w:lang w:val="zh-CN" w:eastAsia="zh-CN" w:bidi="ar-SA"/>
    </w:rPr>
  </w:style>
  <w:style w:type="character" w:customStyle="1" w:styleId="114">
    <w:name w:val="5正文 Char"/>
    <w:link w:val="115"/>
    <w:autoRedefine/>
    <w:qFormat/>
    <w:uiPriority w:val="0"/>
    <w:rPr>
      <w:rFonts w:ascii="仿宋_GB2312" w:hAnsi="微软雅黑" w:eastAsia="仿宋_GB2312"/>
      <w:sz w:val="28"/>
      <w:szCs w:val="21"/>
    </w:rPr>
  </w:style>
  <w:style w:type="paragraph" w:customStyle="1" w:styleId="115">
    <w:name w:val="5正文"/>
    <w:basedOn w:val="1"/>
    <w:link w:val="114"/>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autoRedefine/>
    <w:qFormat/>
    <w:uiPriority w:val="9"/>
    <w:rPr>
      <w:b/>
      <w:bCs/>
      <w:kern w:val="2"/>
      <w:sz w:val="32"/>
      <w:szCs w:val="32"/>
    </w:rPr>
  </w:style>
  <w:style w:type="character" w:customStyle="1" w:styleId="117">
    <w:name w:val="样式6 Char"/>
    <w:autoRedefine/>
    <w:qFormat/>
    <w:uiPriority w:val="0"/>
    <w:rPr>
      <w:rFonts w:ascii="仿宋_GB2312" w:hAnsi="宋体" w:eastAsia="仿宋_GB2312"/>
      <w:b/>
      <w:bCs/>
      <w:kern w:val="2"/>
      <w:sz w:val="24"/>
      <w:szCs w:val="24"/>
      <w:lang w:val="en-US" w:eastAsia="zh-CN" w:bidi="ar-SA"/>
    </w:rPr>
  </w:style>
  <w:style w:type="character" w:customStyle="1" w:styleId="118">
    <w:name w:val="Char Char14"/>
    <w:autoRedefine/>
    <w:qFormat/>
    <w:uiPriority w:val="6"/>
    <w:rPr>
      <w:rFonts w:ascii="黑体" w:hAnsi="黑体" w:eastAsia="黑体"/>
    </w:rPr>
  </w:style>
  <w:style w:type="character" w:customStyle="1" w:styleId="119">
    <w:name w:val="Heading 2 Hidden Char"/>
    <w:autoRedefine/>
    <w:qFormat/>
    <w:uiPriority w:val="0"/>
    <w:rPr>
      <w:rFonts w:ascii="仿宋_GB2312" w:eastAsia="仿宋_GB2312"/>
      <w:b/>
      <w:bCs/>
      <w:kern w:val="2"/>
      <w:sz w:val="24"/>
      <w:szCs w:val="24"/>
      <w:lang w:val="zh-CN" w:eastAsia="zh-CN" w:bidi="ar-SA"/>
    </w:rPr>
  </w:style>
  <w:style w:type="character" w:customStyle="1" w:styleId="120">
    <w:name w:val="正文首行缩进 2 Char"/>
    <w:link w:val="26"/>
    <w:autoRedefine/>
    <w:qFormat/>
    <w:uiPriority w:val="0"/>
    <w:rPr>
      <w:rFonts w:ascii="宋体" w:hAnsi="宋体"/>
      <w:kern w:val="2"/>
      <w:sz w:val="21"/>
      <w:szCs w:val="24"/>
    </w:rPr>
  </w:style>
  <w:style w:type="character" w:customStyle="1" w:styleId="121">
    <w:name w:val="font11"/>
    <w:basedOn w:val="70"/>
    <w:autoRedefine/>
    <w:qFormat/>
    <w:uiPriority w:val="0"/>
    <w:rPr>
      <w:rFonts w:hint="default" w:ascii="Times New Roman" w:hAnsi="Times New Roman" w:cs="Times New Roman"/>
      <w:color w:val="000000"/>
      <w:sz w:val="22"/>
      <w:szCs w:val="22"/>
      <w:u w:val="none"/>
    </w:rPr>
  </w:style>
  <w:style w:type="character" w:customStyle="1" w:styleId="122">
    <w:name w:val="表正文 Char1"/>
    <w:autoRedefine/>
    <w:qFormat/>
    <w:uiPriority w:val="0"/>
    <w:rPr>
      <w:rFonts w:ascii="宋体" w:eastAsia="宋体"/>
      <w:snapToGrid w:val="0"/>
      <w:color w:val="000000"/>
      <w:kern w:val="28"/>
      <w:sz w:val="28"/>
    </w:rPr>
  </w:style>
  <w:style w:type="character" w:customStyle="1" w:styleId="123">
    <w:name w:val="blue1"/>
    <w:basedOn w:val="70"/>
    <w:autoRedefine/>
    <w:qFormat/>
    <w:uiPriority w:val="0"/>
    <w:rPr>
      <w:rFonts w:ascii="Arial" w:hAnsi="Arial" w:eastAsia="黑体" w:cs="Arial"/>
      <w:snapToGrid w:val="0"/>
      <w:kern w:val="0"/>
      <w:szCs w:val="21"/>
    </w:rPr>
  </w:style>
  <w:style w:type="character" w:customStyle="1" w:styleId="124">
    <w:name w:val="纯文本 Char"/>
    <w:link w:val="34"/>
    <w:autoRedefine/>
    <w:qFormat/>
    <w:uiPriority w:val="0"/>
    <w:rPr>
      <w:rFonts w:ascii="宋体" w:hAnsi="Courier New" w:eastAsia="宋体" w:cs="Arial"/>
      <w:snapToGrid w:val="0"/>
      <w:kern w:val="2"/>
      <w:sz w:val="21"/>
      <w:szCs w:val="21"/>
      <w:lang w:val="en-US" w:eastAsia="zh-CN" w:bidi="ar-SA"/>
    </w:rPr>
  </w:style>
  <w:style w:type="character" w:customStyle="1" w:styleId="125">
    <w:name w:val="标书1 Char"/>
    <w:autoRedefine/>
    <w:qFormat/>
    <w:uiPriority w:val="0"/>
    <w:rPr>
      <w:rFonts w:eastAsia="宋体"/>
      <w:b/>
      <w:bCs/>
      <w:kern w:val="44"/>
      <w:sz w:val="44"/>
      <w:szCs w:val="44"/>
      <w:lang w:val="en-US" w:eastAsia="zh-CN" w:bidi="ar-SA"/>
    </w:rPr>
  </w:style>
  <w:style w:type="character" w:customStyle="1" w:styleId="126">
    <w:name w:val="样式5 Char"/>
    <w:autoRedefine/>
    <w:qFormat/>
    <w:uiPriority w:val="0"/>
    <w:rPr>
      <w:rFonts w:ascii="仿宋_GB2312" w:hAnsi="仿宋" w:eastAsia="仿宋_GB2312"/>
      <w:kern w:val="2"/>
      <w:sz w:val="24"/>
      <w:szCs w:val="24"/>
    </w:rPr>
  </w:style>
  <w:style w:type="character" w:customStyle="1" w:styleId="127">
    <w:name w:val="样式4 Char"/>
    <w:autoRedefine/>
    <w:qFormat/>
    <w:uiPriority w:val="0"/>
    <w:rPr>
      <w:rFonts w:ascii="仿宋_GB2312" w:hAnsi="仿宋" w:eastAsia="仿宋_GB2312"/>
      <w:b/>
      <w:kern w:val="2"/>
      <w:sz w:val="32"/>
      <w:szCs w:val="32"/>
      <w:lang w:bidi="ar-SA"/>
    </w:rPr>
  </w:style>
  <w:style w:type="character" w:customStyle="1" w:styleId="128">
    <w:name w:val="插图说明 Char"/>
    <w:autoRedefine/>
    <w:qFormat/>
    <w:uiPriority w:val="0"/>
    <w:rPr>
      <w:rFonts w:eastAsia="黑体"/>
      <w:sz w:val="24"/>
      <w:lang w:val="en-US" w:eastAsia="zh-CN"/>
    </w:rPr>
  </w:style>
  <w:style w:type="character" w:customStyle="1" w:styleId="129">
    <w:name w:val="正文2 Char Char"/>
    <w:link w:val="130"/>
    <w:autoRedefine/>
    <w:qFormat/>
    <w:uiPriority w:val="0"/>
    <w:rPr>
      <w:rFonts w:eastAsia="宋体"/>
      <w:kern w:val="2"/>
      <w:sz w:val="24"/>
      <w:lang w:val="en-US" w:eastAsia="zh-CN" w:bidi="ar-SA"/>
    </w:rPr>
  </w:style>
  <w:style w:type="paragraph" w:customStyle="1" w:styleId="130">
    <w:name w:val="正文2"/>
    <w:basedOn w:val="1"/>
    <w:link w:val="129"/>
    <w:autoRedefine/>
    <w:qFormat/>
    <w:uiPriority w:val="0"/>
    <w:pPr>
      <w:spacing w:before="156" w:line="360" w:lineRule="auto"/>
      <w:ind w:firstLine="510" w:firstLineChars="200"/>
    </w:pPr>
    <w:rPr>
      <w:sz w:val="24"/>
      <w:szCs w:val="20"/>
    </w:rPr>
  </w:style>
  <w:style w:type="character" w:customStyle="1" w:styleId="131">
    <w:name w:val="Char Char24"/>
    <w:autoRedefine/>
    <w:qFormat/>
    <w:uiPriority w:val="6"/>
    <w:rPr>
      <w:kern w:val="1"/>
      <w:sz w:val="21"/>
    </w:rPr>
  </w:style>
  <w:style w:type="character" w:customStyle="1" w:styleId="132">
    <w:name w:val="副标题 Char"/>
    <w:link w:val="49"/>
    <w:autoRedefine/>
    <w:qFormat/>
    <w:uiPriority w:val="0"/>
    <w:rPr>
      <w:rFonts w:ascii="Arial" w:hAnsi="Arial" w:eastAsia="隶书"/>
      <w:b/>
      <w:bCs/>
      <w:kern w:val="28"/>
      <w:sz w:val="44"/>
      <w:szCs w:val="32"/>
      <w:lang w:val="en-US" w:eastAsia="zh-CN" w:bidi="ar-SA"/>
    </w:rPr>
  </w:style>
  <w:style w:type="character" w:customStyle="1" w:styleId="133">
    <w:name w:val="普通文字 Char1 Char"/>
    <w:autoRedefine/>
    <w:qFormat/>
    <w:uiPriority w:val="0"/>
    <w:rPr>
      <w:rFonts w:ascii="宋体" w:hAnsi="Courier New" w:eastAsia="宋体"/>
      <w:kern w:val="2"/>
      <w:sz w:val="21"/>
      <w:szCs w:val="24"/>
      <w:lang w:val="en-US" w:eastAsia="zh-CN" w:bidi="ar-SA"/>
    </w:rPr>
  </w:style>
  <w:style w:type="character" w:customStyle="1" w:styleId="134">
    <w:name w:val="h3 Char1"/>
    <w:autoRedefine/>
    <w:qFormat/>
    <w:uiPriority w:val="0"/>
    <w:rPr>
      <w:rFonts w:eastAsia="宋体"/>
      <w:b/>
      <w:bCs/>
      <w:kern w:val="2"/>
      <w:sz w:val="32"/>
      <w:szCs w:val="32"/>
      <w:lang w:bidi="ar-SA"/>
    </w:rPr>
  </w:style>
  <w:style w:type="character" w:customStyle="1" w:styleId="135">
    <w:name w:val="标题 Char1"/>
    <w:autoRedefine/>
    <w:qFormat/>
    <w:uiPriority w:val="0"/>
    <w:rPr>
      <w:rFonts w:ascii="Cambria" w:hAnsi="Cambria" w:eastAsia="宋体" w:cs="Times New Roman"/>
      <w:b/>
      <w:bCs/>
      <w:sz w:val="32"/>
      <w:szCs w:val="32"/>
      <w:lang w:bidi="ar-SA"/>
    </w:rPr>
  </w:style>
  <w:style w:type="character" w:customStyle="1" w:styleId="136">
    <w:name w:val="gf正文1 Char"/>
    <w:autoRedefine/>
    <w:qFormat/>
    <w:uiPriority w:val="0"/>
    <w:rPr>
      <w:rFonts w:ascii="宋体" w:hAnsi="宋体" w:eastAsia="宋体" w:cs="宋体"/>
      <w:kern w:val="2"/>
      <w:sz w:val="24"/>
      <w:szCs w:val="24"/>
      <w:lang w:val="en-US" w:eastAsia="zh-CN" w:bidi="ar-SA"/>
    </w:rPr>
  </w:style>
  <w:style w:type="character" w:customStyle="1" w:styleId="137">
    <w:name w:val="正文文本缩进 Char1"/>
    <w:autoRedefine/>
    <w:qFormat/>
    <w:uiPriority w:val="0"/>
    <w:rPr>
      <w:rFonts w:ascii="Calibri" w:hAnsi="Calibri"/>
      <w:sz w:val="28"/>
    </w:rPr>
  </w:style>
  <w:style w:type="character" w:customStyle="1" w:styleId="138">
    <w:name w:val="No Spacing Char"/>
    <w:link w:val="139"/>
    <w:autoRedefine/>
    <w:qFormat/>
    <w:uiPriority w:val="1"/>
    <w:rPr>
      <w:sz w:val="22"/>
      <w:szCs w:val="22"/>
      <w:lang w:val="en-US" w:eastAsia="zh-CN" w:bidi="ar-SA"/>
    </w:rPr>
  </w:style>
  <w:style w:type="paragraph" w:customStyle="1" w:styleId="139">
    <w:name w:val="无间隔1"/>
    <w:link w:val="138"/>
    <w:autoRedefine/>
    <w:qFormat/>
    <w:uiPriority w:val="1"/>
    <w:rPr>
      <w:rFonts w:ascii="Times New Roman" w:hAnsi="Times New Roman" w:eastAsia="宋体" w:cs="Times New Roman"/>
      <w:sz w:val="22"/>
      <w:szCs w:val="22"/>
      <w:lang w:val="en-US" w:eastAsia="zh-CN" w:bidi="ar-SA"/>
    </w:rPr>
  </w:style>
  <w:style w:type="character" w:customStyle="1" w:styleId="140">
    <w:name w:val="样式7 Char"/>
    <w:autoRedefine/>
    <w:qFormat/>
    <w:uiPriority w:val="0"/>
    <w:rPr>
      <w:rFonts w:ascii="仿宋_GB2312" w:hAnsi="仿宋" w:eastAsia="仿宋_GB2312"/>
      <w:b/>
      <w:kern w:val="2"/>
      <w:sz w:val="24"/>
      <w:szCs w:val="24"/>
    </w:rPr>
  </w:style>
  <w:style w:type="character" w:customStyle="1" w:styleId="141">
    <w:name w:val="font12gray1"/>
    <w:autoRedefine/>
    <w:qFormat/>
    <w:uiPriority w:val="0"/>
    <w:rPr>
      <w:rFonts w:ascii="仿宋_GB2312" w:eastAsia="微软雅黑"/>
      <w:b/>
      <w:spacing w:val="300"/>
      <w:kern w:val="2"/>
      <w:sz w:val="18"/>
      <w:szCs w:val="18"/>
      <w:lang w:val="en-US" w:eastAsia="zh-CN" w:bidi="ar-SA"/>
    </w:rPr>
  </w:style>
  <w:style w:type="character" w:customStyle="1" w:styleId="142">
    <w:name w:val="Char Char7"/>
    <w:autoRedefine/>
    <w:semiHidden/>
    <w:qFormat/>
    <w:uiPriority w:val="0"/>
    <w:rPr>
      <w:rFonts w:eastAsia="宋体"/>
      <w:kern w:val="2"/>
      <w:sz w:val="21"/>
      <w:szCs w:val="24"/>
      <w:lang w:val="en-US" w:eastAsia="zh-CN" w:bidi="ar-SA"/>
    </w:rPr>
  </w:style>
  <w:style w:type="character" w:customStyle="1" w:styleId="143">
    <w:name w:val="表名 Char"/>
    <w:autoRedefine/>
    <w:qFormat/>
    <w:uiPriority w:val="0"/>
    <w:rPr>
      <w:rFonts w:eastAsia="宋体"/>
      <w:b/>
      <w:bCs/>
      <w:kern w:val="2"/>
      <w:sz w:val="24"/>
      <w:szCs w:val="24"/>
      <w:lang w:val="en-US" w:eastAsia="zh-CN" w:bidi="ar-SA"/>
    </w:rPr>
  </w:style>
  <w:style w:type="character" w:customStyle="1" w:styleId="144">
    <w:name w:val="Document Map Char"/>
    <w:autoRedefine/>
    <w:qFormat/>
    <w:locked/>
    <w:uiPriority w:val="0"/>
    <w:rPr>
      <w:rFonts w:eastAsia="宋体"/>
      <w:kern w:val="2"/>
      <w:sz w:val="21"/>
      <w:szCs w:val="24"/>
      <w:lang w:val="en-US" w:eastAsia="zh-CN" w:bidi="ar-SA"/>
    </w:rPr>
  </w:style>
  <w:style w:type="character" w:customStyle="1" w:styleId="145">
    <w:name w:val="font41"/>
    <w:basedOn w:val="70"/>
    <w:autoRedefine/>
    <w:qFormat/>
    <w:uiPriority w:val="0"/>
    <w:rPr>
      <w:rFonts w:hint="eastAsia" w:ascii="仿宋_GB2312" w:eastAsia="仿宋_GB2312" w:cs="仿宋_GB2312"/>
      <w:color w:val="000000"/>
      <w:sz w:val="22"/>
      <w:szCs w:val="22"/>
      <w:u w:val="none"/>
    </w:rPr>
  </w:style>
  <w:style w:type="character" w:customStyle="1" w:styleId="146">
    <w:name w:val="标题 6 Char"/>
    <w:link w:val="8"/>
    <w:autoRedefine/>
    <w:qFormat/>
    <w:uiPriority w:val="0"/>
    <w:rPr>
      <w:rFonts w:ascii="Arial" w:hAnsi="Arial" w:eastAsia="黑体"/>
      <w:b/>
      <w:bCs/>
      <w:kern w:val="2"/>
      <w:sz w:val="24"/>
      <w:szCs w:val="24"/>
    </w:rPr>
  </w:style>
  <w:style w:type="character" w:customStyle="1" w:styleId="147">
    <w:name w:val="纯文本 Char_0"/>
    <w:link w:val="148"/>
    <w:autoRedefine/>
    <w:qFormat/>
    <w:uiPriority w:val="0"/>
    <w:rPr>
      <w:rFonts w:ascii="宋体" w:hAnsi="Courier New"/>
      <w:kern w:val="2"/>
      <w:sz w:val="21"/>
      <w:szCs w:val="21"/>
      <w:lang w:val="en-US" w:eastAsia="zh-CN"/>
    </w:rPr>
  </w:style>
  <w:style w:type="paragraph" w:customStyle="1" w:styleId="148">
    <w:name w:val="纯文本_0_0"/>
    <w:basedOn w:val="149"/>
    <w:link w:val="147"/>
    <w:autoRedefine/>
    <w:qFormat/>
    <w:uiPriority w:val="0"/>
    <w:rPr>
      <w:rFonts w:ascii="宋体" w:hAnsi="Courier New"/>
      <w:szCs w:val="21"/>
    </w:rPr>
  </w:style>
  <w:style w:type="paragraph" w:customStyle="1" w:styleId="14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autoRedefine/>
    <w:qFormat/>
    <w:locked/>
    <w:uiPriority w:val="0"/>
    <w:rPr>
      <w:rFonts w:eastAsia="宋体"/>
      <w:kern w:val="2"/>
      <w:sz w:val="18"/>
      <w:szCs w:val="18"/>
      <w:lang w:val="en-US" w:eastAsia="zh-CN" w:bidi="ar-SA"/>
    </w:rPr>
  </w:style>
  <w:style w:type="character" w:customStyle="1" w:styleId="151">
    <w:name w:val="正文 项目2 Char"/>
    <w:basedOn w:val="152"/>
    <w:autoRedefine/>
    <w:qFormat/>
    <w:uiPriority w:val="0"/>
    <w:rPr>
      <w:rFonts w:ascii="仿宋_GB2312" w:hAnsi="仿宋_GB2312" w:eastAsia="仿宋_GB2312"/>
      <w:kern w:val="2"/>
      <w:sz w:val="24"/>
      <w:lang w:bidi="ar-SA"/>
    </w:rPr>
  </w:style>
  <w:style w:type="character" w:customStyle="1" w:styleId="152">
    <w:name w:val="正文 项目 Char"/>
    <w:autoRedefine/>
    <w:qFormat/>
    <w:uiPriority w:val="0"/>
    <w:rPr>
      <w:rFonts w:ascii="仿宋_GB2312" w:hAnsi="仿宋_GB2312" w:eastAsia="仿宋_GB2312"/>
      <w:kern w:val="2"/>
      <w:sz w:val="24"/>
      <w:lang w:bidi="ar-SA"/>
    </w:rPr>
  </w:style>
  <w:style w:type="character" w:customStyle="1" w:styleId="153">
    <w:name w:val="h Char Char1"/>
    <w:autoRedefine/>
    <w:qFormat/>
    <w:uiPriority w:val="0"/>
    <w:rPr>
      <w:rFonts w:eastAsia="宋体"/>
      <w:kern w:val="2"/>
      <w:sz w:val="18"/>
      <w:szCs w:val="18"/>
      <w:lang w:val="en-US" w:eastAsia="zh-CN" w:bidi="ar-SA"/>
    </w:rPr>
  </w:style>
  <w:style w:type="character" w:customStyle="1" w:styleId="154">
    <w:name w:val="Char Char27"/>
    <w:autoRedefine/>
    <w:qFormat/>
    <w:uiPriority w:val="6"/>
    <w:rPr>
      <w:rFonts w:ascii="宋体" w:hAnsi="宋体" w:eastAsia="宋体"/>
      <w:color w:val="000000"/>
      <w:kern w:val="1"/>
      <w:sz w:val="28"/>
      <w:lang w:val="en-US" w:eastAsia="zh-CN" w:bidi="ar-SA"/>
    </w:rPr>
  </w:style>
  <w:style w:type="character" w:customStyle="1" w:styleId="155">
    <w:name w:val="px14"/>
    <w:autoRedefine/>
    <w:qFormat/>
    <w:uiPriority w:val="0"/>
    <w:rPr>
      <w:rFonts w:ascii="仿宋_GB2312" w:eastAsia="微软雅黑" w:cs="Times New Roman"/>
      <w:b/>
      <w:kern w:val="2"/>
      <w:sz w:val="32"/>
      <w:szCs w:val="32"/>
      <w:lang w:val="en-US" w:eastAsia="zh-CN" w:bidi="ar-SA"/>
    </w:rPr>
  </w:style>
  <w:style w:type="character" w:customStyle="1" w:styleId="156">
    <w:name w:val="HTML 预设格式 Char1"/>
    <w:autoRedefine/>
    <w:qFormat/>
    <w:uiPriority w:val="0"/>
    <w:rPr>
      <w:rFonts w:ascii="Courier New" w:hAnsi="Courier New" w:eastAsia="宋体" w:cs="Courier New"/>
      <w:sz w:val="20"/>
      <w:szCs w:val="20"/>
    </w:rPr>
  </w:style>
  <w:style w:type="character" w:customStyle="1" w:styleId="157">
    <w:name w:val="普通文字 Char1"/>
    <w:autoRedefine/>
    <w:qFormat/>
    <w:uiPriority w:val="0"/>
    <w:rPr>
      <w:rFonts w:ascii="宋体" w:hAnsi="Courier New" w:eastAsia="宋体"/>
      <w:kern w:val="2"/>
      <w:sz w:val="21"/>
      <w:lang w:val="en-US" w:eastAsia="zh-CN"/>
    </w:rPr>
  </w:style>
  <w:style w:type="character" w:customStyle="1" w:styleId="158">
    <w:name w:val="hei16b1"/>
    <w:autoRedefine/>
    <w:qFormat/>
    <w:uiPriority w:val="0"/>
    <w:rPr>
      <w:rFonts w:hint="default" w:ascii="Arial" w:hAnsi="Arial" w:cs="Arial"/>
      <w:b/>
      <w:bCs/>
      <w:color w:val="000000"/>
      <w:sz w:val="24"/>
      <w:szCs w:val="24"/>
    </w:rPr>
  </w:style>
  <w:style w:type="character" w:customStyle="1" w:styleId="159">
    <w:name w:val="正文（绿盟科技） Char"/>
    <w:link w:val="160"/>
    <w:autoRedefine/>
    <w:qFormat/>
    <w:uiPriority w:val="0"/>
    <w:rPr>
      <w:rFonts w:ascii="Arial" w:hAnsi="Arial"/>
      <w:sz w:val="21"/>
      <w:szCs w:val="21"/>
    </w:rPr>
  </w:style>
  <w:style w:type="paragraph" w:customStyle="1" w:styleId="160">
    <w:name w:val="正文（绿盟科技）"/>
    <w:link w:val="159"/>
    <w:autoRedefine/>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autoRedefine/>
    <w:qFormat/>
    <w:uiPriority w:val="6"/>
    <w:rPr>
      <w:rFonts w:ascii="宋体" w:hAnsi="宋体"/>
      <w:i/>
      <w:sz w:val="24"/>
      <w:szCs w:val="24"/>
    </w:rPr>
  </w:style>
  <w:style w:type="character" w:customStyle="1" w:styleId="162">
    <w:name w:val="页脚 Char"/>
    <w:autoRedefine/>
    <w:qFormat/>
    <w:uiPriority w:val="0"/>
    <w:rPr>
      <w:rFonts w:eastAsia="仿宋_GB2312"/>
      <w:kern w:val="2"/>
      <w:sz w:val="18"/>
      <w:lang w:val="en-US" w:eastAsia="zh-CN"/>
    </w:rPr>
  </w:style>
  <w:style w:type="character" w:customStyle="1" w:styleId="163">
    <w:name w:val="批注主题 Char"/>
    <w:autoRedefine/>
    <w:qFormat/>
    <w:uiPriority w:val="0"/>
    <w:rPr>
      <w:rFonts w:eastAsia="宋体"/>
      <w:b/>
      <w:bCs/>
      <w:kern w:val="2"/>
      <w:sz w:val="21"/>
      <w:szCs w:val="24"/>
      <w:lang w:val="en-US" w:eastAsia="zh-CN" w:bidi="ar-SA"/>
    </w:rPr>
  </w:style>
  <w:style w:type="character" w:customStyle="1" w:styleId="164">
    <w:name w:val="Comment Text Char"/>
    <w:autoRedefine/>
    <w:qFormat/>
    <w:locked/>
    <w:uiPriority w:val="0"/>
    <w:rPr>
      <w:rFonts w:ascii="宋体" w:hAnsi="宋体" w:eastAsia="宋体"/>
      <w:kern w:val="2"/>
      <w:sz w:val="24"/>
      <w:lang w:val="en-US" w:eastAsia="zh-CN" w:bidi="ar-SA"/>
    </w:rPr>
  </w:style>
  <w:style w:type="character" w:customStyle="1" w:styleId="165">
    <w:name w:val="标题 2 字符"/>
    <w:autoRedefine/>
    <w:qFormat/>
    <w:uiPriority w:val="1"/>
    <w:rPr>
      <w:rFonts w:ascii="仿宋_GB2312" w:hAnsi="Times New Roman" w:eastAsia="仿宋_GB2312" w:cs="Times New Roman"/>
      <w:b/>
      <w:kern w:val="2"/>
      <w:sz w:val="24"/>
      <w:lang w:val="zh-CN"/>
    </w:rPr>
  </w:style>
  <w:style w:type="character" w:customStyle="1" w:styleId="166">
    <w:name w:val="Char Char72"/>
    <w:autoRedefine/>
    <w:qFormat/>
    <w:uiPriority w:val="0"/>
    <w:rPr>
      <w:rFonts w:eastAsia="宋体"/>
      <w:kern w:val="2"/>
      <w:sz w:val="21"/>
      <w:szCs w:val="24"/>
      <w:lang w:val="en-US" w:eastAsia="zh-CN" w:bidi="ar-SA"/>
    </w:rPr>
  </w:style>
  <w:style w:type="character" w:customStyle="1" w:styleId="167">
    <w:name w:val="正文文本缩进 Char2"/>
    <w:autoRedefine/>
    <w:qFormat/>
    <w:uiPriority w:val="0"/>
    <w:rPr>
      <w:rFonts w:ascii="Times New Roman" w:hAnsi="Times New Roman" w:eastAsia="宋体" w:cs="Times New Roman"/>
      <w:snapToGrid w:val="0"/>
      <w:kern w:val="0"/>
      <w:szCs w:val="24"/>
    </w:rPr>
  </w:style>
  <w:style w:type="character" w:customStyle="1" w:styleId="168">
    <w:name w:val="样式2 Char"/>
    <w:autoRedefine/>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autoRedefine/>
    <w:qFormat/>
    <w:uiPriority w:val="0"/>
    <w:rPr>
      <w:sz w:val="32"/>
    </w:rPr>
  </w:style>
  <w:style w:type="paragraph" w:customStyle="1" w:styleId="170">
    <w:name w:val="表格名称"/>
    <w:basedOn w:val="3"/>
    <w:link w:val="169"/>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autoRedefine/>
    <w:qFormat/>
    <w:uiPriority w:val="0"/>
    <w:rPr>
      <w:rFonts w:eastAsia="宋体"/>
      <w:b/>
      <w:sz w:val="24"/>
      <w:lang w:val="en-GB" w:eastAsia="zh-CN" w:bidi="ar-SA"/>
    </w:rPr>
  </w:style>
  <w:style w:type="character" w:customStyle="1" w:styleId="172">
    <w:name w:val="c7 style3"/>
    <w:autoRedefine/>
    <w:qFormat/>
    <w:uiPriority w:val="0"/>
  </w:style>
  <w:style w:type="character" w:customStyle="1" w:styleId="173">
    <w:name w:val="正文文本 3 Char1"/>
    <w:autoRedefine/>
    <w:semiHidden/>
    <w:qFormat/>
    <w:uiPriority w:val="99"/>
    <w:rPr>
      <w:rFonts w:ascii="Times New Roman" w:hAnsi="Times New Roman" w:eastAsia="宋体" w:cs="Times New Roman"/>
      <w:sz w:val="16"/>
      <w:szCs w:val="16"/>
    </w:rPr>
  </w:style>
  <w:style w:type="character" w:customStyle="1" w:styleId="174">
    <w:name w:val="tw4winInternal"/>
    <w:autoRedefine/>
    <w:qFormat/>
    <w:uiPriority w:val="0"/>
    <w:rPr>
      <w:rFonts w:ascii="Courier New" w:hAnsi="Courier New" w:cs="Courier New"/>
      <w:color w:val="FF0000"/>
      <w:lang w:val="en-US" w:eastAsia="zh-CN"/>
    </w:rPr>
  </w:style>
  <w:style w:type="character" w:customStyle="1" w:styleId="175">
    <w:name w:val="Char Char10"/>
    <w:autoRedefine/>
    <w:semiHidden/>
    <w:qFormat/>
    <w:uiPriority w:val="0"/>
    <w:rPr>
      <w:rFonts w:ascii="宋体" w:hAnsi="宋体"/>
      <w:kern w:val="2"/>
      <w:sz w:val="21"/>
      <w:szCs w:val="24"/>
      <w:lang w:val="en-US" w:eastAsia="zh-CN"/>
    </w:rPr>
  </w:style>
  <w:style w:type="character" w:customStyle="1" w:styleId="176">
    <w:name w:val="shadow11"/>
    <w:autoRedefine/>
    <w:qFormat/>
    <w:uiPriority w:val="0"/>
    <w:rPr>
      <w:color w:val="000000"/>
      <w:sz w:val="21"/>
    </w:rPr>
  </w:style>
  <w:style w:type="character" w:customStyle="1" w:styleId="177">
    <w:name w:val="正文非缩进 Char3"/>
    <w:autoRedefine/>
    <w:qFormat/>
    <w:uiPriority w:val="0"/>
    <w:rPr>
      <w:rFonts w:ascii="宋体" w:eastAsia="宋体"/>
      <w:snapToGrid w:val="0"/>
      <w:color w:val="000000"/>
      <w:kern w:val="28"/>
      <w:sz w:val="28"/>
      <w:lang w:val="en-US" w:eastAsia="zh-CN" w:bidi="ar-SA"/>
    </w:rPr>
  </w:style>
  <w:style w:type="character" w:customStyle="1" w:styleId="178">
    <w:name w:val="Char Char"/>
    <w:autoRedefine/>
    <w:qFormat/>
    <w:uiPriority w:val="0"/>
    <w:rPr>
      <w:rFonts w:ascii="宋体" w:hAnsi="Courier New" w:eastAsia="宋体"/>
      <w:kern w:val="2"/>
      <w:sz w:val="21"/>
      <w:lang w:val="en-US" w:eastAsia="zh-CN" w:bidi="ar-SA"/>
    </w:rPr>
  </w:style>
  <w:style w:type="character" w:customStyle="1" w:styleId="179">
    <w:name w:val="签名 Char1"/>
    <w:autoRedefine/>
    <w:qFormat/>
    <w:uiPriority w:val="0"/>
    <w:rPr>
      <w:rFonts w:ascii="Times New Roman" w:hAnsi="Times New Roman" w:eastAsia="宋体" w:cs="Times New Roman"/>
      <w:szCs w:val="24"/>
    </w:rPr>
  </w:style>
  <w:style w:type="character" w:customStyle="1" w:styleId="180">
    <w:name w:val="日期 Char"/>
    <w:link w:val="37"/>
    <w:autoRedefine/>
    <w:qFormat/>
    <w:uiPriority w:val="0"/>
    <w:rPr>
      <w:rFonts w:ascii="宋体"/>
      <w:kern w:val="2"/>
      <w:sz w:val="24"/>
      <w:szCs w:val="21"/>
      <w:lang w:val="zh-CN"/>
    </w:rPr>
  </w:style>
  <w:style w:type="character" w:customStyle="1" w:styleId="181">
    <w:name w:val="标题 9 Char"/>
    <w:link w:val="11"/>
    <w:autoRedefine/>
    <w:qFormat/>
    <w:uiPriority w:val="0"/>
    <w:rPr>
      <w:rFonts w:ascii="Arial" w:hAnsi="Arial" w:eastAsia="黑体"/>
      <w:kern w:val="2"/>
      <w:sz w:val="21"/>
      <w:szCs w:val="21"/>
    </w:rPr>
  </w:style>
  <w:style w:type="character" w:customStyle="1" w:styleId="182">
    <w:name w:val="Char Char18"/>
    <w:autoRedefine/>
    <w:qFormat/>
    <w:uiPriority w:val="6"/>
    <w:rPr>
      <w:rFonts w:ascii="宋体" w:hAnsi="宋体"/>
      <w:sz w:val="28"/>
    </w:rPr>
  </w:style>
  <w:style w:type="character" w:customStyle="1" w:styleId="183">
    <w:name w:val="批注文字 Char"/>
    <w:autoRedefine/>
    <w:qFormat/>
    <w:uiPriority w:val="0"/>
    <w:rPr>
      <w:kern w:val="2"/>
      <w:sz w:val="21"/>
      <w:szCs w:val="24"/>
    </w:rPr>
  </w:style>
  <w:style w:type="character" w:customStyle="1" w:styleId="184">
    <w:name w:val="Char Char22"/>
    <w:autoRedefine/>
    <w:qFormat/>
    <w:uiPriority w:val="6"/>
    <w:rPr>
      <w:rFonts w:ascii="宋体" w:hAnsi="宋体"/>
      <w:kern w:val="1"/>
      <w:sz w:val="24"/>
      <w:szCs w:val="24"/>
    </w:rPr>
  </w:style>
  <w:style w:type="character" w:customStyle="1" w:styleId="185">
    <w:name w:val="pt141"/>
    <w:autoRedefine/>
    <w:qFormat/>
    <w:uiPriority w:val="0"/>
    <w:rPr>
      <w:color w:val="330066"/>
      <w:sz w:val="22"/>
      <w:szCs w:val="22"/>
    </w:rPr>
  </w:style>
  <w:style w:type="character" w:customStyle="1" w:styleId="186">
    <w:name w:val="正文文本缩进 2 Char1"/>
    <w:autoRedefine/>
    <w:semiHidden/>
    <w:qFormat/>
    <w:uiPriority w:val="99"/>
    <w:rPr>
      <w:rFonts w:ascii="Times New Roman" w:hAnsi="Times New Roman" w:eastAsia="宋体" w:cs="Times New Roman"/>
      <w:szCs w:val="24"/>
    </w:rPr>
  </w:style>
  <w:style w:type="character" w:customStyle="1" w:styleId="187">
    <w:name w:val="批注框文本 Char"/>
    <w:link w:val="40"/>
    <w:autoRedefine/>
    <w:qFormat/>
    <w:uiPriority w:val="0"/>
    <w:rPr>
      <w:kern w:val="2"/>
      <w:sz w:val="18"/>
      <w:szCs w:val="18"/>
    </w:rPr>
  </w:style>
  <w:style w:type="character" w:customStyle="1" w:styleId="188">
    <w:name w:val="Char Char611"/>
    <w:autoRedefine/>
    <w:qFormat/>
    <w:uiPriority w:val="0"/>
    <w:rPr>
      <w:rFonts w:eastAsia="宋体"/>
      <w:kern w:val="2"/>
      <w:sz w:val="21"/>
      <w:szCs w:val="24"/>
      <w:lang w:val="en-US" w:eastAsia="zh-CN" w:bidi="ar-SA"/>
    </w:rPr>
  </w:style>
  <w:style w:type="character" w:customStyle="1" w:styleId="189">
    <w:name w:val="highlight1"/>
    <w:autoRedefine/>
    <w:qFormat/>
    <w:uiPriority w:val="0"/>
    <w:rPr>
      <w:rFonts w:ascii="仿宋_GB2312" w:eastAsia="微软雅黑"/>
      <w:b/>
      <w:kern w:val="2"/>
      <w:sz w:val="23"/>
      <w:szCs w:val="23"/>
      <w:lang w:val="en-US" w:eastAsia="zh-CN" w:bidi="ar-SA"/>
    </w:rPr>
  </w:style>
  <w:style w:type="character" w:customStyle="1" w:styleId="190">
    <w:name w:val="my正文 Char"/>
    <w:link w:val="191"/>
    <w:autoRedefine/>
    <w:qFormat/>
    <w:locked/>
    <w:uiPriority w:val="0"/>
    <w:rPr>
      <w:rFonts w:ascii="Tahoma" w:hAnsi="Tahoma"/>
      <w:sz w:val="24"/>
      <w:szCs w:val="24"/>
    </w:rPr>
  </w:style>
  <w:style w:type="paragraph" w:customStyle="1" w:styleId="191">
    <w:name w:val="my正文"/>
    <w:basedOn w:val="1"/>
    <w:link w:val="190"/>
    <w:autoRedefine/>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5"/>
    <w:autoRedefine/>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autoRedefine/>
    <w:qFormat/>
    <w:uiPriority w:val="0"/>
    <w:rPr>
      <w:color w:val="0000FF"/>
      <w:sz w:val="21"/>
    </w:rPr>
  </w:style>
  <w:style w:type="character" w:customStyle="1" w:styleId="194">
    <w:name w:val="页眉 Char"/>
    <w:autoRedefine/>
    <w:qFormat/>
    <w:uiPriority w:val="0"/>
    <w:rPr>
      <w:rFonts w:eastAsia="仿宋_GB2312"/>
      <w:kern w:val="2"/>
      <w:sz w:val="18"/>
      <w:lang w:val="en-US" w:eastAsia="zh-CN"/>
    </w:rPr>
  </w:style>
  <w:style w:type="character" w:customStyle="1" w:styleId="195">
    <w:name w:val="FA正文 Char Char"/>
    <w:autoRedefine/>
    <w:qFormat/>
    <w:uiPriority w:val="0"/>
    <w:rPr>
      <w:rFonts w:hAnsi="宋体"/>
      <w:kern w:val="2"/>
      <w:sz w:val="24"/>
      <w:lang w:bidi="ar-SA"/>
    </w:rPr>
  </w:style>
  <w:style w:type="character" w:customStyle="1" w:styleId="196">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autoRedefine/>
    <w:qFormat/>
    <w:uiPriority w:val="0"/>
    <w:rPr>
      <w:rFonts w:ascii="宋体" w:hAnsi="宋体"/>
      <w:b/>
      <w:bCs/>
      <w:snapToGrid/>
      <w:sz w:val="28"/>
    </w:rPr>
  </w:style>
  <w:style w:type="paragraph" w:customStyle="1" w:styleId="198">
    <w:name w:val="3级"/>
    <w:basedOn w:val="199"/>
    <w:link w:val="197"/>
    <w:autoRedefine/>
    <w:qFormat/>
    <w:uiPriority w:val="0"/>
    <w:pPr>
      <w:ind w:left="0" w:right="466" w:firstLine="288"/>
    </w:pPr>
    <w:rPr>
      <w:rFonts w:hAnsi="宋体"/>
      <w:snapToGrid/>
    </w:rPr>
  </w:style>
  <w:style w:type="paragraph" w:customStyle="1" w:styleId="199">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autoRedefine/>
    <w:qFormat/>
    <w:uiPriority w:val="0"/>
    <w:rPr>
      <w:rFonts w:ascii="仿宋_GB2312" w:eastAsia="微软雅黑"/>
      <w:b/>
      <w:kern w:val="2"/>
      <w:sz w:val="32"/>
      <w:szCs w:val="32"/>
      <w:lang w:val="en-US" w:eastAsia="zh-CN" w:bidi="ar-SA"/>
    </w:rPr>
  </w:style>
  <w:style w:type="character" w:customStyle="1" w:styleId="201">
    <w:name w:val="文档结构图 Char1"/>
    <w:link w:val="18"/>
    <w:autoRedefine/>
    <w:qFormat/>
    <w:uiPriority w:val="0"/>
    <w:rPr>
      <w:kern w:val="2"/>
      <w:sz w:val="21"/>
      <w:szCs w:val="24"/>
      <w:shd w:val="clear" w:color="auto" w:fill="000080"/>
    </w:rPr>
  </w:style>
  <w:style w:type="character" w:customStyle="1" w:styleId="202">
    <w:name w:val="H6 Char"/>
    <w:autoRedefine/>
    <w:qFormat/>
    <w:uiPriority w:val="0"/>
    <w:rPr>
      <w:rFonts w:ascii="Arial" w:hAnsi="Arial" w:eastAsia="黑体"/>
      <w:b/>
      <w:bCs/>
      <w:kern w:val="2"/>
      <w:sz w:val="24"/>
      <w:szCs w:val="24"/>
    </w:rPr>
  </w:style>
  <w:style w:type="character" w:customStyle="1" w:styleId="203">
    <w:name w:val="Char Char91"/>
    <w:autoRedefine/>
    <w:qFormat/>
    <w:uiPriority w:val="0"/>
    <w:rPr>
      <w:rFonts w:eastAsia="宋体"/>
      <w:kern w:val="2"/>
      <w:sz w:val="18"/>
      <w:szCs w:val="18"/>
      <w:lang w:val="en-US" w:eastAsia="zh-CN" w:bidi="ar-SA"/>
    </w:rPr>
  </w:style>
  <w:style w:type="character" w:customStyle="1" w:styleId="204">
    <w:name w:val="副标题 Char1"/>
    <w:autoRedefine/>
    <w:qFormat/>
    <w:uiPriority w:val="0"/>
    <w:rPr>
      <w:rFonts w:ascii="Cambria" w:hAnsi="Cambria" w:eastAsia="宋体" w:cs="Times New Roman"/>
      <w:b/>
      <w:bCs/>
      <w:snapToGrid w:val="0"/>
      <w:kern w:val="28"/>
      <w:sz w:val="32"/>
      <w:szCs w:val="32"/>
    </w:rPr>
  </w:style>
  <w:style w:type="character" w:customStyle="1" w:styleId="205">
    <w:name w:val="font61"/>
    <w:autoRedefine/>
    <w:qFormat/>
    <w:uiPriority w:val="0"/>
    <w:rPr>
      <w:rFonts w:hint="eastAsia" w:ascii="仿宋" w:hAnsi="仿宋" w:eastAsia="仿宋" w:cs="仿宋"/>
      <w:color w:val="000000"/>
      <w:sz w:val="20"/>
      <w:szCs w:val="20"/>
      <w:u w:val="none"/>
    </w:rPr>
  </w:style>
  <w:style w:type="character" w:customStyle="1" w:styleId="206">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autoRedefine/>
    <w:qFormat/>
    <w:uiPriority w:val="0"/>
    <w:rPr>
      <w:rFonts w:eastAsia="宋体"/>
      <w:b/>
      <w:bCs/>
      <w:kern w:val="2"/>
      <w:sz w:val="21"/>
      <w:szCs w:val="24"/>
      <w:lang w:val="en-US" w:eastAsia="zh-CN" w:bidi="ar-SA"/>
    </w:rPr>
  </w:style>
  <w:style w:type="character" w:customStyle="1" w:styleId="208">
    <w:name w:val="标题 2 Char"/>
    <w:autoRedefine/>
    <w:qFormat/>
    <w:uiPriority w:val="0"/>
    <w:rPr>
      <w:rFonts w:ascii="Arial" w:hAnsi="Arial" w:eastAsia="黑体"/>
      <w:b/>
      <w:kern w:val="2"/>
      <w:sz w:val="32"/>
      <w:lang w:val="en-US" w:eastAsia="zh-CN"/>
    </w:rPr>
  </w:style>
  <w:style w:type="character" w:customStyle="1" w:styleId="209">
    <w:name w:val="maywed421"/>
    <w:autoRedefine/>
    <w:qFormat/>
    <w:uiPriority w:val="0"/>
    <w:rPr>
      <w:color w:val="366FB6"/>
      <w:u w:val="none"/>
    </w:rPr>
  </w:style>
  <w:style w:type="character" w:customStyle="1" w:styleId="210">
    <w:name w:val="正文文本缩进 Char"/>
    <w:autoRedefine/>
    <w:qFormat/>
    <w:uiPriority w:val="0"/>
    <w:rPr>
      <w:rFonts w:ascii="宋体" w:hAnsi="宋体"/>
      <w:kern w:val="2"/>
      <w:sz w:val="24"/>
      <w:szCs w:val="24"/>
    </w:rPr>
  </w:style>
  <w:style w:type="character" w:customStyle="1" w:styleId="211">
    <w:name w:val="Char Char102"/>
    <w:autoRedefine/>
    <w:semiHidden/>
    <w:qFormat/>
    <w:uiPriority w:val="0"/>
    <w:rPr>
      <w:rFonts w:ascii="宋体" w:hAnsi="宋体"/>
      <w:kern w:val="2"/>
      <w:sz w:val="21"/>
      <w:szCs w:val="24"/>
      <w:lang w:val="en-US" w:eastAsia="zh-CN"/>
    </w:rPr>
  </w:style>
  <w:style w:type="character" w:customStyle="1" w:styleId="212">
    <w:name w:val="页眉 Char1"/>
    <w:autoRedefine/>
    <w:qFormat/>
    <w:uiPriority w:val="0"/>
    <w:rPr>
      <w:rFonts w:eastAsia="宋体"/>
      <w:kern w:val="2"/>
      <w:sz w:val="18"/>
      <w:szCs w:val="18"/>
      <w:lang w:val="en-US" w:eastAsia="zh-CN" w:bidi="ar-SA"/>
    </w:rPr>
  </w:style>
  <w:style w:type="character" w:customStyle="1" w:styleId="213">
    <w:name w:val="md"/>
    <w:basedOn w:val="70"/>
    <w:autoRedefine/>
    <w:qFormat/>
    <w:uiPriority w:val="0"/>
    <w:rPr>
      <w:rFonts w:ascii="Arial" w:hAnsi="Arial" w:eastAsia="黑体" w:cs="Arial"/>
      <w:snapToGrid w:val="0"/>
      <w:kern w:val="0"/>
      <w:szCs w:val="21"/>
    </w:rPr>
  </w:style>
  <w:style w:type="character" w:customStyle="1" w:styleId="214">
    <w:name w:val="big1"/>
    <w:autoRedefine/>
    <w:qFormat/>
    <w:uiPriority w:val="0"/>
    <w:rPr>
      <w:rFonts w:hint="eastAsia" w:ascii="宋体" w:hAnsi="宋体" w:eastAsia="宋体"/>
      <w:color w:val="333333"/>
      <w:sz w:val="22"/>
      <w:szCs w:val="22"/>
    </w:rPr>
  </w:style>
  <w:style w:type="character" w:customStyle="1" w:styleId="215">
    <w:name w:val="Char Char311"/>
    <w:autoRedefine/>
    <w:qFormat/>
    <w:uiPriority w:val="0"/>
    <w:rPr>
      <w:rFonts w:eastAsia="宋体"/>
      <w:kern w:val="2"/>
      <w:sz w:val="21"/>
      <w:szCs w:val="24"/>
      <w:lang w:val="en-US" w:eastAsia="zh-CN" w:bidi="ar-SA"/>
    </w:rPr>
  </w:style>
  <w:style w:type="character" w:customStyle="1" w:styleId="216">
    <w:name w:val="Char Char81"/>
    <w:autoRedefine/>
    <w:qFormat/>
    <w:uiPriority w:val="6"/>
    <w:rPr>
      <w:rFonts w:eastAsia="宋体"/>
      <w:b/>
      <w:sz w:val="24"/>
      <w:lang w:val="en-GB" w:eastAsia="zh-CN"/>
    </w:rPr>
  </w:style>
  <w:style w:type="character" w:customStyle="1" w:styleId="217">
    <w:name w:val="样式3 Char"/>
    <w:basedOn w:val="168"/>
    <w:autoRedefine/>
    <w:qFormat/>
    <w:uiPriority w:val="0"/>
    <w:rPr>
      <w:rFonts w:ascii="仿宋_GB2312" w:hAnsi="仿宋" w:eastAsia="仿宋_GB2312" w:cs="仿宋_GB2312"/>
      <w:sz w:val="32"/>
      <w:szCs w:val="30"/>
      <w:lang w:val="zh-CN"/>
    </w:rPr>
  </w:style>
  <w:style w:type="character" w:customStyle="1" w:styleId="218">
    <w:name w:val="HTML 地址 Char"/>
    <w:link w:val="31"/>
    <w:autoRedefine/>
    <w:qFormat/>
    <w:uiPriority w:val="0"/>
    <w:rPr>
      <w:rFonts w:ascii="宋体" w:hAnsi="宋体"/>
      <w:i/>
      <w:iCs/>
      <w:sz w:val="24"/>
      <w:szCs w:val="24"/>
    </w:rPr>
  </w:style>
  <w:style w:type="character" w:customStyle="1" w:styleId="219">
    <w:name w:val="正文首行缩进 2 Char1"/>
    <w:autoRedefine/>
    <w:qFormat/>
    <w:uiPriority w:val="0"/>
    <w:rPr>
      <w:rFonts w:ascii="Times New Roman" w:hAnsi="Times New Roman" w:eastAsia="宋体" w:cs="Times New Roman"/>
      <w:kern w:val="2"/>
      <w:sz w:val="24"/>
      <w:szCs w:val="24"/>
    </w:rPr>
  </w:style>
  <w:style w:type="character" w:customStyle="1" w:styleId="220">
    <w:name w:val="副标题 Char2"/>
    <w:autoRedefine/>
    <w:qFormat/>
    <w:uiPriority w:val="0"/>
    <w:rPr>
      <w:rFonts w:ascii="Cambria" w:hAnsi="Cambria" w:eastAsia="宋体" w:cs="Times New Roman"/>
      <w:b/>
      <w:bCs/>
      <w:snapToGrid w:val="0"/>
      <w:kern w:val="28"/>
      <w:sz w:val="32"/>
      <w:szCs w:val="32"/>
    </w:rPr>
  </w:style>
  <w:style w:type="character" w:customStyle="1" w:styleId="221">
    <w:name w:val="标题4-dyf Char"/>
    <w:link w:val="222"/>
    <w:autoRedefine/>
    <w:qFormat/>
    <w:uiPriority w:val="0"/>
    <w:rPr>
      <w:rFonts w:ascii="Cambria" w:hAnsi="Cambria"/>
      <w:b/>
      <w:bCs/>
      <w:color w:val="000000"/>
      <w:kern w:val="2"/>
      <w:sz w:val="21"/>
      <w:szCs w:val="21"/>
    </w:rPr>
  </w:style>
  <w:style w:type="paragraph" w:customStyle="1" w:styleId="222">
    <w:name w:val="标题4-dyf"/>
    <w:basedOn w:val="6"/>
    <w:link w:val="221"/>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autoRedefine/>
    <w:qFormat/>
    <w:uiPriority w:val="0"/>
    <w:rPr>
      <w:rFonts w:ascii="宋体" w:hAnsi="宋体" w:eastAsia="宋体"/>
      <w:color w:val="333333"/>
      <w:sz w:val="21"/>
      <w:szCs w:val="21"/>
      <w:u w:val="none"/>
    </w:rPr>
  </w:style>
  <w:style w:type="character" w:customStyle="1" w:styleId="224">
    <w:name w:val="冯 Char"/>
    <w:link w:val="225"/>
    <w:autoRedefine/>
    <w:qFormat/>
    <w:uiPriority w:val="0"/>
    <w:rPr>
      <w:rFonts w:ascii="宋体" w:hAnsi="宋体"/>
      <w:color w:val="000000"/>
      <w:sz w:val="24"/>
      <w:szCs w:val="24"/>
    </w:rPr>
  </w:style>
  <w:style w:type="paragraph" w:customStyle="1" w:styleId="225">
    <w:name w:val="冯"/>
    <w:basedOn w:val="1"/>
    <w:link w:val="224"/>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autoRedefine/>
    <w:qFormat/>
    <w:locked/>
    <w:uiPriority w:val="0"/>
    <w:rPr>
      <w:rFonts w:eastAsia="宋体"/>
      <w:kern w:val="2"/>
      <w:sz w:val="18"/>
      <w:szCs w:val="18"/>
      <w:lang w:val="en-US" w:eastAsia="zh-CN" w:bidi="ar-SA"/>
    </w:rPr>
  </w:style>
  <w:style w:type="character" w:customStyle="1" w:styleId="227">
    <w:name w:val="Char Char12"/>
    <w:autoRedefine/>
    <w:qFormat/>
    <w:uiPriority w:val="0"/>
    <w:rPr>
      <w:rFonts w:ascii="仿宋_GB2312" w:eastAsia="仿宋_GB2312"/>
      <w:b/>
      <w:bCs/>
      <w:kern w:val="2"/>
      <w:sz w:val="24"/>
      <w:szCs w:val="24"/>
      <w:lang w:val="zh-CN" w:eastAsia="zh-CN" w:bidi="ar-SA"/>
    </w:rPr>
  </w:style>
  <w:style w:type="character" w:customStyle="1" w:styleId="228">
    <w:name w:val="题注 Char"/>
    <w:link w:val="16"/>
    <w:autoRedefine/>
    <w:qFormat/>
    <w:uiPriority w:val="0"/>
    <w:rPr>
      <w:b/>
      <w:kern w:val="2"/>
      <w:sz w:val="28"/>
    </w:rPr>
  </w:style>
  <w:style w:type="character" w:customStyle="1" w:styleId="229">
    <w:name w:val="普通文字 Char3"/>
    <w:autoRedefine/>
    <w:qFormat/>
    <w:uiPriority w:val="0"/>
    <w:rPr>
      <w:rFonts w:ascii="宋体" w:hAnsi="Courier New" w:eastAsia="宋体"/>
      <w:kern w:val="2"/>
      <w:sz w:val="21"/>
      <w:lang w:val="en-US" w:eastAsia="zh-CN" w:bidi="ar-SA"/>
    </w:rPr>
  </w:style>
  <w:style w:type="character" w:customStyle="1" w:styleId="230">
    <w:name w:val="公文正文 Char"/>
    <w:autoRedefine/>
    <w:qFormat/>
    <w:uiPriority w:val="0"/>
    <w:rPr>
      <w:rFonts w:ascii="仿宋_GB2312" w:eastAsia="仿宋_GB2312"/>
      <w:kern w:val="2"/>
      <w:sz w:val="24"/>
      <w:szCs w:val="24"/>
      <w:lang w:val="en-US" w:eastAsia="zh-CN" w:bidi="ar-SA"/>
    </w:rPr>
  </w:style>
  <w:style w:type="character" w:customStyle="1" w:styleId="231">
    <w:name w:val="正文首行缩进 Char Char Char Char Char"/>
    <w:autoRedefine/>
    <w:qFormat/>
    <w:uiPriority w:val="0"/>
    <w:rPr>
      <w:rFonts w:ascii="宋体"/>
      <w:kern w:val="2"/>
      <w:sz w:val="24"/>
      <w:lang w:val="zh-CN"/>
    </w:rPr>
  </w:style>
  <w:style w:type="character" w:customStyle="1" w:styleId="232">
    <w:name w:val="PI Char"/>
    <w:autoRedefine/>
    <w:qFormat/>
    <w:uiPriority w:val="0"/>
    <w:rPr>
      <w:rFonts w:ascii="宋体" w:hAnsi="宋体" w:eastAsia="宋体"/>
      <w:kern w:val="2"/>
      <w:sz w:val="24"/>
      <w:szCs w:val="24"/>
      <w:lang w:val="en-US" w:eastAsia="zh-CN" w:bidi="ar-SA"/>
    </w:rPr>
  </w:style>
  <w:style w:type="character" w:customStyle="1" w:styleId="233">
    <w:name w:val="Default Char"/>
    <w:link w:val="234"/>
    <w:autoRedefine/>
    <w:qFormat/>
    <w:uiPriority w:val="0"/>
    <w:rPr>
      <w:rFonts w:ascii="仿宋_GB2312" w:eastAsia="仿宋_GB2312" w:cs="仿宋_GB2312"/>
      <w:color w:val="000000"/>
      <w:sz w:val="24"/>
      <w:szCs w:val="24"/>
      <w:lang w:val="en-US" w:eastAsia="zh-CN" w:bidi="ar-SA"/>
    </w:rPr>
  </w:style>
  <w:style w:type="paragraph" w:customStyle="1" w:styleId="234">
    <w:name w:val="Default"/>
    <w:link w:val="23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autoRedefine/>
    <w:qFormat/>
    <w:uiPriority w:val="0"/>
    <w:rPr>
      <w:color w:val="333333"/>
    </w:rPr>
  </w:style>
  <w:style w:type="character" w:customStyle="1" w:styleId="236">
    <w:name w:val="列出段落 Char2"/>
    <w:autoRedefine/>
    <w:qFormat/>
    <w:uiPriority w:val="34"/>
    <w:rPr>
      <w:rFonts w:ascii="Calibri" w:hAnsi="Calibri"/>
      <w:kern w:val="2"/>
      <w:sz w:val="28"/>
    </w:rPr>
  </w:style>
  <w:style w:type="character" w:customStyle="1" w:styleId="237">
    <w:name w:val="mdeck"/>
    <w:autoRedefine/>
    <w:qFormat/>
    <w:uiPriority w:val="0"/>
    <w:rPr>
      <w:rFonts w:ascii="仿宋_GB2312" w:eastAsia="微软雅黑"/>
      <w:b/>
      <w:kern w:val="2"/>
      <w:sz w:val="32"/>
      <w:szCs w:val="32"/>
      <w:lang w:val="en-US" w:eastAsia="zh-CN" w:bidi="ar-SA"/>
    </w:rPr>
  </w:style>
  <w:style w:type="character" w:customStyle="1" w:styleId="238">
    <w:name w:val="unnamed11"/>
    <w:autoRedefine/>
    <w:qFormat/>
    <w:uiPriority w:val="0"/>
    <w:rPr>
      <w:sz w:val="20"/>
      <w:szCs w:val="20"/>
    </w:rPr>
  </w:style>
  <w:style w:type="character" w:customStyle="1" w:styleId="239">
    <w:name w:val="正文文本 Char2"/>
    <w:autoRedefine/>
    <w:semiHidden/>
    <w:qFormat/>
    <w:uiPriority w:val="99"/>
    <w:rPr>
      <w:rFonts w:ascii="Times New Roman" w:hAnsi="Times New Roman" w:eastAsia="宋体" w:cs="Times New Roman"/>
      <w:snapToGrid w:val="0"/>
      <w:kern w:val="0"/>
      <w:szCs w:val="24"/>
    </w:rPr>
  </w:style>
  <w:style w:type="character" w:customStyle="1" w:styleId="240">
    <w:name w:val="标书正文格式 Char"/>
    <w:autoRedefine/>
    <w:qFormat/>
    <w:uiPriority w:val="0"/>
    <w:rPr>
      <w:rFonts w:eastAsia="楷体_GB2312"/>
      <w:kern w:val="2"/>
      <w:sz w:val="24"/>
      <w:szCs w:val="24"/>
      <w:lang w:bidi="ar-SA"/>
    </w:rPr>
  </w:style>
  <w:style w:type="character" w:customStyle="1" w:styleId="241">
    <w:name w:val="Char Char11"/>
    <w:autoRedefine/>
    <w:qFormat/>
    <w:locked/>
    <w:uiPriority w:val="0"/>
    <w:rPr>
      <w:rFonts w:ascii="宋体" w:hAnsi="宋体" w:eastAsia="宋体"/>
      <w:b/>
      <w:kern w:val="2"/>
      <w:sz w:val="24"/>
      <w:szCs w:val="24"/>
      <w:lang w:val="en-US" w:eastAsia="zh-CN" w:bidi="ar-SA"/>
    </w:rPr>
  </w:style>
  <w:style w:type="character" w:customStyle="1" w:styleId="242">
    <w:name w:val="ca-131"/>
    <w:autoRedefine/>
    <w:qFormat/>
    <w:uiPriority w:val="0"/>
    <w:rPr>
      <w:rFonts w:hint="eastAsia" w:ascii="仿宋_GB2312" w:eastAsia="仿宋_GB2312"/>
      <w:b/>
      <w:bCs/>
      <w:color w:val="000000"/>
      <w:spacing w:val="-20"/>
      <w:sz w:val="24"/>
      <w:szCs w:val="24"/>
    </w:rPr>
  </w:style>
  <w:style w:type="character" w:customStyle="1" w:styleId="243">
    <w:name w:val="tw4winMark"/>
    <w:autoRedefine/>
    <w:qFormat/>
    <w:uiPriority w:val="0"/>
    <w:rPr>
      <w:rFonts w:ascii="Courier New" w:hAnsi="Courier New" w:cs="Courier New"/>
      <w:vanish/>
      <w:color w:val="800080"/>
      <w:sz w:val="24"/>
      <w:szCs w:val="24"/>
      <w:vertAlign w:val="subscript"/>
    </w:rPr>
  </w:style>
  <w:style w:type="character" w:customStyle="1" w:styleId="244">
    <w:name w:val="正文样式 Char"/>
    <w:link w:val="245"/>
    <w:autoRedefine/>
    <w:qFormat/>
    <w:uiPriority w:val="0"/>
    <w:rPr>
      <w:rFonts w:ascii="Calibri" w:hAnsi="Calibri"/>
      <w:sz w:val="24"/>
      <w:szCs w:val="24"/>
    </w:rPr>
  </w:style>
  <w:style w:type="paragraph" w:customStyle="1" w:styleId="245">
    <w:name w:val="正文样式"/>
    <w:basedOn w:val="1"/>
    <w:link w:val="244"/>
    <w:autoRedefine/>
    <w:qFormat/>
    <w:uiPriority w:val="0"/>
    <w:pPr>
      <w:adjustRightInd/>
      <w:spacing w:line="360" w:lineRule="auto"/>
      <w:ind w:firstLine="480" w:firstLineChars="200"/>
    </w:pPr>
    <w:rPr>
      <w:kern w:val="0"/>
      <w:sz w:val="24"/>
    </w:rPr>
  </w:style>
  <w:style w:type="character" w:customStyle="1" w:styleId="246">
    <w:name w:val="表正文 Char3"/>
    <w:autoRedefine/>
    <w:qFormat/>
    <w:uiPriority w:val="0"/>
    <w:rPr>
      <w:rFonts w:eastAsia="宋体"/>
    </w:rPr>
  </w:style>
  <w:style w:type="character" w:customStyle="1" w:styleId="247">
    <w:name w:val="H5 Char"/>
    <w:autoRedefine/>
    <w:qFormat/>
    <w:uiPriority w:val="0"/>
    <w:rPr>
      <w:b/>
      <w:bCs/>
      <w:kern w:val="2"/>
      <w:sz w:val="28"/>
      <w:szCs w:val="28"/>
    </w:rPr>
  </w:style>
  <w:style w:type="character" w:customStyle="1" w:styleId="248">
    <w:name w:val="Char Char3"/>
    <w:autoRedefine/>
    <w:qFormat/>
    <w:uiPriority w:val="0"/>
    <w:rPr>
      <w:rFonts w:eastAsia="宋体"/>
      <w:kern w:val="2"/>
      <w:sz w:val="21"/>
      <w:szCs w:val="24"/>
      <w:lang w:val="en-US" w:eastAsia="zh-CN" w:bidi="ar-SA"/>
    </w:rPr>
  </w:style>
  <w:style w:type="character" w:customStyle="1" w:styleId="249">
    <w:name w:val="正文 编号 Char"/>
    <w:autoRedefine/>
    <w:qFormat/>
    <w:uiPriority w:val="0"/>
    <w:rPr>
      <w:rFonts w:ascii="仿宋_GB2312" w:hAnsi="仿宋_GB2312" w:eastAsia="仿宋_GB2312"/>
      <w:kern w:val="2"/>
      <w:sz w:val="24"/>
      <w:lang w:bidi="ar-SA"/>
    </w:rPr>
  </w:style>
  <w:style w:type="character" w:customStyle="1" w:styleId="250">
    <w:name w:val="question-title2"/>
    <w:autoRedefine/>
    <w:qFormat/>
    <w:uiPriority w:val="6"/>
    <w:rPr>
      <w:rFonts w:ascii="Arial" w:hAnsi="Arial" w:eastAsia="黑体" w:cs="Arial"/>
      <w:snapToGrid w:val="0"/>
      <w:kern w:val="0"/>
      <w:szCs w:val="21"/>
    </w:rPr>
  </w:style>
  <w:style w:type="character" w:customStyle="1" w:styleId="251">
    <w:name w:val="gf正文1 Char Char"/>
    <w:link w:val="252"/>
    <w:autoRedefine/>
    <w:qFormat/>
    <w:uiPriority w:val="0"/>
    <w:rPr>
      <w:rFonts w:ascii="宋体" w:hAnsi="宋体" w:cs="宋体"/>
      <w:kern w:val="2"/>
      <w:sz w:val="24"/>
      <w:szCs w:val="24"/>
    </w:rPr>
  </w:style>
  <w:style w:type="paragraph" w:customStyle="1" w:styleId="252">
    <w:name w:val="gf正文1"/>
    <w:basedOn w:val="1"/>
    <w:link w:val="251"/>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autoRedefine/>
    <w:qFormat/>
    <w:uiPriority w:val="6"/>
    <w:rPr>
      <w:rFonts w:ascii="宋体" w:hAnsi="宋体"/>
      <w:kern w:val="1"/>
      <w:sz w:val="21"/>
    </w:rPr>
  </w:style>
  <w:style w:type="character" w:customStyle="1" w:styleId="254">
    <w:name w:val="正文缩进 Char3"/>
    <w:autoRedefine/>
    <w:qFormat/>
    <w:uiPriority w:val="0"/>
    <w:rPr>
      <w:rFonts w:ascii="宋体" w:eastAsia="宋体"/>
      <w:snapToGrid w:val="0"/>
      <w:color w:val="000000"/>
      <w:kern w:val="28"/>
      <w:sz w:val="28"/>
      <w:lang w:val="en-US" w:eastAsia="zh-CN" w:bidi="ar-SA"/>
    </w:rPr>
  </w:style>
  <w:style w:type="character" w:customStyle="1" w:styleId="255">
    <w:name w:val="列出段落 Char1"/>
    <w:link w:val="256"/>
    <w:autoRedefine/>
    <w:qFormat/>
    <w:uiPriority w:val="0"/>
    <w:rPr>
      <w:rFonts w:ascii="Calibri" w:hAnsi="Calibri"/>
      <w:sz w:val="24"/>
      <w:lang w:eastAsia="en-US"/>
    </w:rPr>
  </w:style>
  <w:style w:type="paragraph" w:customStyle="1" w:styleId="256">
    <w:name w:val="列表1"/>
    <w:basedOn w:val="1"/>
    <w:next w:val="257"/>
    <w:link w:val="255"/>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8">
    <w:name w:val="Char Char8"/>
    <w:autoRedefine/>
    <w:qFormat/>
    <w:uiPriority w:val="0"/>
    <w:rPr>
      <w:rFonts w:eastAsia="宋体"/>
      <w:b/>
      <w:sz w:val="24"/>
      <w:lang w:val="en-GB" w:eastAsia="zh-CN"/>
    </w:rPr>
  </w:style>
  <w:style w:type="character" w:customStyle="1" w:styleId="259">
    <w:name w:val="Normal Indent Char Char"/>
    <w:autoRedefine/>
    <w:qFormat/>
    <w:uiPriority w:val="0"/>
    <w:rPr>
      <w:rFonts w:eastAsia="宋体"/>
      <w:kern w:val="2"/>
      <w:sz w:val="21"/>
      <w:lang w:val="en-US" w:eastAsia="zh-CN" w:bidi="ar-SA"/>
    </w:rPr>
  </w:style>
  <w:style w:type="character" w:customStyle="1" w:styleId="260">
    <w:name w:val="列表段落 字符"/>
    <w:autoRedefine/>
    <w:qFormat/>
    <w:uiPriority w:val="99"/>
  </w:style>
  <w:style w:type="character" w:customStyle="1" w:styleId="261">
    <w:name w:val="Ò³Ã¼ Char Char1"/>
    <w:autoRedefine/>
    <w:qFormat/>
    <w:uiPriority w:val="0"/>
    <w:rPr>
      <w:rFonts w:eastAsia="宋体"/>
      <w:kern w:val="2"/>
      <w:sz w:val="18"/>
      <w:szCs w:val="18"/>
      <w:lang w:val="en-US" w:eastAsia="zh-CN" w:bidi="ar-SA"/>
    </w:rPr>
  </w:style>
  <w:style w:type="character" w:customStyle="1" w:styleId="262">
    <w:name w:val="方案正文 Char"/>
    <w:autoRedefine/>
    <w:qFormat/>
    <w:uiPriority w:val="0"/>
    <w:rPr>
      <w:rFonts w:ascii="仿宋_GB2312" w:eastAsia="仿宋_GB2312"/>
      <w:b/>
      <w:color w:val="000000"/>
      <w:kern w:val="2"/>
      <w:sz w:val="24"/>
      <w:lang w:val="en-US" w:eastAsia="zh-CN" w:bidi="ar-SA"/>
    </w:rPr>
  </w:style>
  <w:style w:type="character" w:customStyle="1" w:styleId="263">
    <w:name w:val="Char Char30"/>
    <w:autoRedefine/>
    <w:qFormat/>
    <w:uiPriority w:val="6"/>
    <w:rPr>
      <w:rFonts w:ascii="Arial" w:hAnsi="Arial" w:eastAsia="黑体"/>
      <w:kern w:val="1"/>
      <w:sz w:val="21"/>
      <w:szCs w:val="21"/>
    </w:rPr>
  </w:style>
  <w:style w:type="character" w:customStyle="1" w:styleId="264">
    <w:name w:val="正文文本缩进 Char3"/>
    <w:link w:val="25"/>
    <w:autoRedefine/>
    <w:qFormat/>
    <w:uiPriority w:val="0"/>
    <w:rPr>
      <w:rFonts w:ascii="宋体" w:hAnsi="宋体"/>
      <w:kern w:val="2"/>
      <w:sz w:val="24"/>
      <w:szCs w:val="24"/>
    </w:rPr>
  </w:style>
  <w:style w:type="character" w:customStyle="1" w:styleId="265">
    <w:name w:val="font01"/>
    <w:basedOn w:val="70"/>
    <w:autoRedefine/>
    <w:qFormat/>
    <w:uiPriority w:val="0"/>
    <w:rPr>
      <w:rFonts w:hint="eastAsia" w:ascii="微软雅黑" w:hAnsi="微软雅黑" w:eastAsia="微软雅黑" w:cs="微软雅黑"/>
      <w:color w:val="000000"/>
      <w:sz w:val="20"/>
      <w:szCs w:val="20"/>
      <w:u w:val="none"/>
    </w:rPr>
  </w:style>
  <w:style w:type="character" w:customStyle="1" w:styleId="266">
    <w:name w:val="Char Char20"/>
    <w:autoRedefine/>
    <w:qFormat/>
    <w:uiPriority w:val="6"/>
    <w:rPr>
      <w:kern w:val="1"/>
      <w:sz w:val="24"/>
    </w:rPr>
  </w:style>
  <w:style w:type="character" w:customStyle="1" w:styleId="267">
    <w:name w:val="tw4winExternal"/>
    <w:autoRedefine/>
    <w:qFormat/>
    <w:uiPriority w:val="0"/>
    <w:rPr>
      <w:rFonts w:ascii="Courier New" w:hAnsi="Courier New" w:cs="Courier New"/>
      <w:color w:val="808080"/>
      <w:lang w:val="en-US" w:eastAsia="zh-CN"/>
    </w:rPr>
  </w:style>
  <w:style w:type="character" w:customStyle="1" w:styleId="268">
    <w:name w:val="标题 4 Char1"/>
    <w:autoRedefine/>
    <w:qFormat/>
    <w:uiPriority w:val="9"/>
    <w:rPr>
      <w:rFonts w:ascii="Cambria" w:hAnsi="Cambria" w:eastAsia="宋体" w:cs="Times New Roman"/>
      <w:b/>
      <w:bCs/>
      <w:kern w:val="2"/>
      <w:sz w:val="28"/>
      <w:szCs w:val="28"/>
    </w:rPr>
  </w:style>
  <w:style w:type="character" w:customStyle="1" w:styleId="269">
    <w:name w:val="批注文字 Char2"/>
    <w:autoRedefine/>
    <w:qFormat/>
    <w:uiPriority w:val="99"/>
    <w:rPr>
      <w:rFonts w:ascii="Times New Roman" w:hAnsi="Times New Roman" w:eastAsia="宋体" w:cs="Times New Roman"/>
      <w:snapToGrid w:val="0"/>
      <w:kern w:val="0"/>
      <w:szCs w:val="24"/>
    </w:rPr>
  </w:style>
  <w:style w:type="character" w:customStyle="1" w:styleId="270">
    <w:name w:val="正文文本 2 Char"/>
    <w:autoRedefine/>
    <w:qFormat/>
    <w:uiPriority w:val="0"/>
    <w:rPr>
      <w:rFonts w:eastAsia="宋体"/>
      <w:kern w:val="2"/>
      <w:sz w:val="21"/>
      <w:szCs w:val="24"/>
      <w:lang w:val="en-US" w:eastAsia="zh-CN" w:bidi="ar-SA"/>
    </w:rPr>
  </w:style>
  <w:style w:type="character" w:customStyle="1" w:styleId="271">
    <w:name w:val="Ò³Ã¼ Char Char"/>
    <w:autoRedefine/>
    <w:qFormat/>
    <w:uiPriority w:val="0"/>
    <w:rPr>
      <w:rFonts w:eastAsia="宋体"/>
      <w:kern w:val="2"/>
      <w:sz w:val="18"/>
      <w:lang w:val="en-US" w:eastAsia="zh-CN" w:bidi="ar-SA"/>
    </w:rPr>
  </w:style>
  <w:style w:type="character" w:customStyle="1" w:styleId="272">
    <w:name w:val="message1"/>
    <w:autoRedefine/>
    <w:qFormat/>
    <w:uiPriority w:val="0"/>
    <w:rPr>
      <w:rFonts w:hint="default" w:ascii="Tahoma" w:hAnsi="Tahoma" w:cs="Tahoma"/>
      <w:sz w:val="18"/>
      <w:szCs w:val="18"/>
    </w:rPr>
  </w:style>
  <w:style w:type="character" w:customStyle="1" w:styleId="273">
    <w:name w:val="Char Char23"/>
    <w:autoRedefine/>
    <w:qFormat/>
    <w:uiPriority w:val="6"/>
    <w:rPr>
      <w:color w:val="0000FF"/>
      <w:sz w:val="21"/>
    </w:rPr>
  </w:style>
  <w:style w:type="character" w:customStyle="1" w:styleId="274">
    <w:name w:val="批注框文本 字符"/>
    <w:autoRedefine/>
    <w:qFormat/>
    <w:uiPriority w:val="0"/>
    <w:rPr>
      <w:rFonts w:ascii="Arial" w:hAnsi="Arial" w:eastAsia="黑体" w:cs="Arial"/>
      <w:snapToGrid w:val="0"/>
      <w:kern w:val="0"/>
      <w:sz w:val="18"/>
      <w:szCs w:val="18"/>
    </w:rPr>
  </w:style>
  <w:style w:type="character" w:customStyle="1" w:styleId="275">
    <w:name w:val="纯文本 Char2"/>
    <w:autoRedefine/>
    <w:semiHidden/>
    <w:qFormat/>
    <w:uiPriority w:val="99"/>
    <w:rPr>
      <w:rFonts w:ascii="宋体" w:hAnsi="Courier New" w:eastAsia="宋体" w:cs="Courier New"/>
    </w:rPr>
  </w:style>
  <w:style w:type="character" w:customStyle="1" w:styleId="276">
    <w:name w:val="Char Char25"/>
    <w:autoRedefine/>
    <w:qFormat/>
    <w:uiPriority w:val="6"/>
    <w:rPr>
      <w:rFonts w:ascii="宋体" w:hAnsi="宋体"/>
      <w:kern w:val="1"/>
      <w:sz w:val="24"/>
      <w:lang w:val="zh-CN"/>
    </w:rPr>
  </w:style>
  <w:style w:type="character" w:customStyle="1" w:styleId="277">
    <w:name w:val="Char Char411"/>
    <w:autoRedefine/>
    <w:qFormat/>
    <w:uiPriority w:val="0"/>
    <w:rPr>
      <w:rFonts w:eastAsia="宋体"/>
      <w:b/>
      <w:sz w:val="24"/>
      <w:lang w:val="en-GB" w:eastAsia="zh-CN" w:bidi="ar-SA"/>
    </w:rPr>
  </w:style>
  <w:style w:type="character" w:customStyle="1" w:styleId="278">
    <w:name w:val="Heading 7 Char"/>
    <w:autoRedefine/>
    <w:qFormat/>
    <w:locked/>
    <w:uiPriority w:val="0"/>
    <w:rPr>
      <w:rFonts w:ascii="宋体" w:hAnsi="宋体" w:eastAsia="宋体"/>
      <w:b/>
      <w:bCs/>
      <w:kern w:val="2"/>
      <w:sz w:val="24"/>
      <w:szCs w:val="24"/>
      <w:lang w:val="en-US" w:eastAsia="zh-CN" w:bidi="ar-SA"/>
    </w:rPr>
  </w:style>
  <w:style w:type="character" w:customStyle="1" w:styleId="279">
    <w:name w:val="此正文 Char"/>
    <w:link w:val="280"/>
    <w:autoRedefine/>
    <w:qFormat/>
    <w:uiPriority w:val="0"/>
    <w:rPr>
      <w:kern w:val="2"/>
      <w:sz w:val="24"/>
      <w:szCs w:val="24"/>
    </w:rPr>
  </w:style>
  <w:style w:type="paragraph" w:customStyle="1" w:styleId="280">
    <w:name w:val="此正文"/>
    <w:basedOn w:val="1"/>
    <w:link w:val="279"/>
    <w:autoRedefine/>
    <w:qFormat/>
    <w:uiPriority w:val="0"/>
    <w:pPr>
      <w:adjustRightInd/>
      <w:spacing w:line="360" w:lineRule="auto"/>
      <w:ind w:firstLine="200" w:firstLineChars="200"/>
    </w:pPr>
    <w:rPr>
      <w:sz w:val="24"/>
    </w:rPr>
  </w:style>
  <w:style w:type="character" w:customStyle="1" w:styleId="281">
    <w:name w:val="Char Char2"/>
    <w:autoRedefine/>
    <w:qFormat/>
    <w:uiPriority w:val="0"/>
    <w:rPr>
      <w:rFonts w:eastAsia="宋体"/>
      <w:b/>
      <w:bCs/>
      <w:kern w:val="2"/>
      <w:sz w:val="21"/>
      <w:szCs w:val="24"/>
      <w:lang w:val="en-US" w:eastAsia="zh-CN" w:bidi="ar-SA"/>
    </w:rPr>
  </w:style>
  <w:style w:type="character" w:customStyle="1" w:styleId="282">
    <w:name w:val="标题 1 Char"/>
    <w:link w:val="2"/>
    <w:autoRedefine/>
    <w:qFormat/>
    <w:uiPriority w:val="9"/>
    <w:rPr>
      <w:b/>
      <w:bCs/>
      <w:kern w:val="44"/>
      <w:sz w:val="44"/>
      <w:szCs w:val="44"/>
    </w:rPr>
  </w:style>
  <w:style w:type="character" w:customStyle="1" w:styleId="283">
    <w:name w:val="Footer-Even Char1"/>
    <w:autoRedefine/>
    <w:qFormat/>
    <w:uiPriority w:val="0"/>
    <w:rPr>
      <w:rFonts w:eastAsia="宋体"/>
      <w:kern w:val="2"/>
      <w:sz w:val="18"/>
      <w:szCs w:val="18"/>
      <w:lang w:val="en-US" w:eastAsia="zh-CN" w:bidi="ar-SA"/>
    </w:rPr>
  </w:style>
  <w:style w:type="character" w:customStyle="1" w:styleId="284">
    <w:name w:val="Char Char29"/>
    <w:autoRedefine/>
    <w:qFormat/>
    <w:uiPriority w:val="6"/>
    <w:rPr>
      <w:rFonts w:ascii="Arial" w:hAnsi="Arial" w:eastAsia="微软雅黑"/>
      <w:b/>
      <w:kern w:val="1"/>
      <w:sz w:val="44"/>
      <w:szCs w:val="32"/>
      <w:lang w:val="en-US" w:eastAsia="zh-CN" w:bidi="ar-SA"/>
    </w:rPr>
  </w:style>
  <w:style w:type="character" w:customStyle="1" w:styleId="285">
    <w:name w:val="标题 Char2"/>
    <w:link w:val="61"/>
    <w:autoRedefine/>
    <w:qFormat/>
    <w:uiPriority w:val="10"/>
    <w:rPr>
      <w:b/>
      <w:sz w:val="24"/>
      <w:lang w:val="en-GB"/>
    </w:rPr>
  </w:style>
  <w:style w:type="character" w:customStyle="1" w:styleId="286">
    <w:name w:val="font81"/>
    <w:autoRedefine/>
    <w:qFormat/>
    <w:uiPriority w:val="0"/>
    <w:rPr>
      <w:rFonts w:ascii="微软雅黑" w:hAnsi="微软雅黑" w:eastAsia="微软雅黑" w:cs="微软雅黑"/>
      <w:color w:val="000000"/>
      <w:sz w:val="20"/>
      <w:szCs w:val="20"/>
      <w:u w:val="none"/>
    </w:rPr>
  </w:style>
  <w:style w:type="character" w:customStyle="1" w:styleId="287">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8">
    <w:name w:val="t21"/>
    <w:autoRedefine/>
    <w:qFormat/>
    <w:uiPriority w:val="0"/>
    <w:rPr>
      <w:rFonts w:ascii="仿宋_GB2312" w:eastAsia="微软雅黑"/>
      <w:b/>
      <w:kern w:val="2"/>
      <w:sz w:val="23"/>
      <w:szCs w:val="23"/>
      <w:lang w:val="en-US" w:eastAsia="zh-CN" w:bidi="ar-SA"/>
    </w:rPr>
  </w:style>
  <w:style w:type="character" w:customStyle="1" w:styleId="289">
    <w:name w:val="样式8 Char"/>
    <w:autoRedefine/>
    <w:qFormat/>
    <w:uiPriority w:val="0"/>
    <w:rPr>
      <w:rFonts w:ascii="仿宋_GB2312" w:hAnsi="宋体" w:eastAsia="仿宋_GB2312"/>
      <w:b/>
      <w:bCs/>
      <w:kern w:val="2"/>
      <w:sz w:val="24"/>
      <w:szCs w:val="24"/>
    </w:rPr>
  </w:style>
  <w:style w:type="character" w:customStyle="1" w:styleId="290">
    <w:name w:val="表格 Char Char"/>
    <w:autoRedefine/>
    <w:qFormat/>
    <w:uiPriority w:val="0"/>
    <w:rPr>
      <w:rFonts w:ascii="宋体" w:hAnsi="宋体" w:eastAsia="宋体"/>
      <w:lang w:bidi="ar-SA"/>
    </w:rPr>
  </w:style>
  <w:style w:type="character" w:customStyle="1" w:styleId="291">
    <w:name w:val="正文文本 字符1"/>
    <w:autoRedefine/>
    <w:qFormat/>
    <w:uiPriority w:val="0"/>
    <w:rPr>
      <w:rFonts w:ascii="Calibri" w:hAnsi="Calibri" w:eastAsia="黑体" w:cs="Arial"/>
      <w:snapToGrid w:val="0"/>
      <w:kern w:val="2"/>
      <w:sz w:val="28"/>
      <w:szCs w:val="21"/>
    </w:rPr>
  </w:style>
  <w:style w:type="character" w:customStyle="1" w:styleId="292">
    <w:name w:val="标题 5 Char"/>
    <w:link w:val="7"/>
    <w:autoRedefine/>
    <w:qFormat/>
    <w:uiPriority w:val="9"/>
    <w:rPr>
      <w:b/>
      <w:bCs/>
      <w:kern w:val="2"/>
      <w:sz w:val="28"/>
      <w:szCs w:val="28"/>
    </w:rPr>
  </w:style>
  <w:style w:type="character" w:customStyle="1" w:styleId="293">
    <w:name w:val="标题 6 Char1"/>
    <w:autoRedefine/>
    <w:qFormat/>
    <w:uiPriority w:val="0"/>
    <w:rPr>
      <w:rFonts w:ascii="Arial" w:hAnsi="Arial" w:eastAsia="黑体" w:cs="Times New Roman"/>
      <w:b/>
      <w:sz w:val="24"/>
      <w:szCs w:val="20"/>
      <w:lang w:bidi="ar-SA"/>
    </w:rPr>
  </w:style>
  <w:style w:type="character" w:customStyle="1" w:styleId="294">
    <w:name w:val="带编号样式 Char"/>
    <w:autoRedefine/>
    <w:qFormat/>
    <w:uiPriority w:val="0"/>
    <w:rPr>
      <w:rFonts w:ascii="仿宋_GB2312" w:eastAsia="仿宋_GB2312"/>
      <w:color w:val="000000"/>
      <w:sz w:val="24"/>
      <w:lang w:bidi="ar-SA"/>
    </w:rPr>
  </w:style>
  <w:style w:type="character" w:customStyle="1" w:styleId="295">
    <w:name w:val="unnamed31"/>
    <w:autoRedefine/>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autoRedefine/>
    <w:qFormat/>
    <w:uiPriority w:val="0"/>
    <w:rPr>
      <w:rFonts w:ascii="宋体" w:eastAsia="宋体"/>
      <w:kern w:val="2"/>
      <w:sz w:val="24"/>
      <w:szCs w:val="24"/>
      <w:lang w:val="zh-CN" w:bidi="ar-SA"/>
    </w:rPr>
  </w:style>
  <w:style w:type="character" w:customStyle="1" w:styleId="297">
    <w:name w:val="称呼 Char"/>
    <w:link w:val="20"/>
    <w:autoRedefine/>
    <w:qFormat/>
    <w:uiPriority w:val="0"/>
    <w:rPr>
      <w:rFonts w:ascii="仿宋_GB2312" w:eastAsia="仿宋_GB2312"/>
      <w:kern w:val="2"/>
      <w:sz w:val="28"/>
    </w:rPr>
  </w:style>
  <w:style w:type="character" w:customStyle="1" w:styleId="298">
    <w:name w:val="文本正文 Char Char"/>
    <w:autoRedefine/>
    <w:qFormat/>
    <w:locked/>
    <w:uiPriority w:val="0"/>
    <w:rPr>
      <w:sz w:val="24"/>
      <w:lang w:bidi="ar-SA"/>
    </w:rPr>
  </w:style>
  <w:style w:type="character" w:customStyle="1" w:styleId="299">
    <w:name w:val="正文缩进 字符"/>
    <w:autoRedefine/>
    <w:qFormat/>
    <w:uiPriority w:val="0"/>
    <w:rPr>
      <w:rFonts w:ascii="宋体" w:eastAsia="宋体"/>
      <w:snapToGrid w:val="0"/>
      <w:color w:val="000000"/>
      <w:kern w:val="28"/>
      <w:sz w:val="28"/>
      <w:lang w:val="en-US" w:eastAsia="zh-CN" w:bidi="ar-SA"/>
    </w:rPr>
  </w:style>
  <w:style w:type="character" w:customStyle="1" w:styleId="300">
    <w:name w:val="HTML 预设格式 Char"/>
    <w:link w:val="59"/>
    <w:autoRedefine/>
    <w:qFormat/>
    <w:uiPriority w:val="0"/>
    <w:rPr>
      <w:rFonts w:ascii="黑体" w:hAnsi="Courier New" w:eastAsia="黑体"/>
    </w:rPr>
  </w:style>
  <w:style w:type="character" w:customStyle="1" w:styleId="301">
    <w:name w:val="正文文本 2 Char1"/>
    <w:link w:val="58"/>
    <w:autoRedefine/>
    <w:qFormat/>
    <w:uiPriority w:val="0"/>
    <w:rPr>
      <w:kern w:val="2"/>
      <w:sz w:val="21"/>
      <w:szCs w:val="24"/>
    </w:rPr>
  </w:style>
  <w:style w:type="character" w:customStyle="1" w:styleId="302">
    <w:name w:val="样式 样式 标题 4h4H4Fab-4T5Ref Heading 1rh1Heading sqlsect 1.2.3.... +... Char"/>
    <w:link w:val="303"/>
    <w:autoRedefine/>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autoRedefine/>
    <w:qFormat/>
    <w:uiPriority w:val="0"/>
    <w:pPr>
      <w:tabs>
        <w:tab w:val="left" w:pos="2356"/>
      </w:tabs>
    </w:pPr>
  </w:style>
  <w:style w:type="paragraph" w:customStyle="1" w:styleId="304">
    <w:name w:val="样式 标题 4h4H4Fab-4T5Ref Heading 1rh1Heading sqlsect 1.2.3...."/>
    <w:basedOn w:val="6"/>
    <w:link w:val="412"/>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autoRedefine/>
    <w:qFormat/>
    <w:uiPriority w:val="0"/>
    <w:rPr>
      <w:rFonts w:ascii="宋体" w:eastAsia="宋体"/>
      <w:snapToGrid w:val="0"/>
      <w:color w:val="000000"/>
      <w:kern w:val="28"/>
      <w:sz w:val="28"/>
      <w:lang w:val="en-US" w:eastAsia="zh-CN" w:bidi="ar-SA"/>
    </w:rPr>
  </w:style>
  <w:style w:type="character" w:customStyle="1" w:styleId="306">
    <w:name w:val="标题 7 Char"/>
    <w:link w:val="9"/>
    <w:autoRedefine/>
    <w:qFormat/>
    <w:uiPriority w:val="0"/>
    <w:rPr>
      <w:b/>
      <w:bCs/>
      <w:kern w:val="2"/>
      <w:sz w:val="24"/>
      <w:szCs w:val="24"/>
    </w:rPr>
  </w:style>
  <w:style w:type="character" w:customStyle="1" w:styleId="307">
    <w:name w:val="正文文本缩进 2 Char"/>
    <w:link w:val="38"/>
    <w:autoRedefine/>
    <w:qFormat/>
    <w:uiPriority w:val="0"/>
    <w:rPr>
      <w:rFonts w:ascii="宋体"/>
      <w:sz w:val="28"/>
    </w:rPr>
  </w:style>
  <w:style w:type="character" w:customStyle="1" w:styleId="308">
    <w:name w:val="Char Char5"/>
    <w:autoRedefine/>
    <w:qFormat/>
    <w:uiPriority w:val="0"/>
    <w:rPr>
      <w:rFonts w:ascii="宋体" w:hAnsi="Courier New" w:eastAsia="宋体"/>
      <w:kern w:val="2"/>
      <w:sz w:val="21"/>
      <w:lang w:val="en-US" w:eastAsia="zh-CN"/>
    </w:rPr>
  </w:style>
  <w:style w:type="character" w:customStyle="1" w:styleId="309">
    <w:name w:val="脚注文本 Char"/>
    <w:link w:val="52"/>
    <w:autoRedefine/>
    <w:qFormat/>
    <w:uiPriority w:val="0"/>
    <w:rPr>
      <w:color w:val="0000FF"/>
      <w:sz w:val="21"/>
    </w:rPr>
  </w:style>
  <w:style w:type="character" w:customStyle="1" w:styleId="310">
    <w:name w:val="称呼 Char1"/>
    <w:autoRedefine/>
    <w:qFormat/>
    <w:uiPriority w:val="0"/>
    <w:rPr>
      <w:rFonts w:ascii="Times New Roman" w:hAnsi="Times New Roman" w:eastAsia="宋体" w:cs="Times New Roman"/>
      <w:szCs w:val="24"/>
    </w:rPr>
  </w:style>
  <w:style w:type="character" w:customStyle="1" w:styleId="311">
    <w:name w:val="正文1 Char"/>
    <w:autoRedefine/>
    <w:qFormat/>
    <w:uiPriority w:val="0"/>
    <w:rPr>
      <w:rFonts w:ascii="宋体" w:eastAsia="宋体"/>
      <w:snapToGrid w:val="0"/>
      <w:color w:val="000000"/>
      <w:kern w:val="28"/>
      <w:sz w:val="28"/>
      <w:lang w:val="en-US" w:eastAsia="zh-CN" w:bidi="ar-SA"/>
    </w:rPr>
  </w:style>
  <w:style w:type="character" w:customStyle="1" w:styleId="312">
    <w:name w:val="正文缩进 Char1"/>
    <w:autoRedefine/>
    <w:qFormat/>
    <w:uiPriority w:val="0"/>
    <w:rPr>
      <w:rFonts w:ascii="宋体" w:eastAsia="宋体"/>
      <w:snapToGrid w:val="0"/>
      <w:color w:val="000000"/>
      <w:kern w:val="28"/>
      <w:sz w:val="28"/>
      <w:lang w:val="en-US" w:eastAsia="zh-CN" w:bidi="ar-SA"/>
    </w:rPr>
  </w:style>
  <w:style w:type="character" w:customStyle="1" w:styleId="313">
    <w:name w:val="font21"/>
    <w:basedOn w:val="70"/>
    <w:autoRedefine/>
    <w:qFormat/>
    <w:uiPriority w:val="0"/>
    <w:rPr>
      <w:rFonts w:hint="eastAsia" w:ascii="宋体" w:hAnsi="宋体" w:eastAsia="宋体"/>
      <w:kern w:val="2"/>
      <w:sz w:val="28"/>
      <w:szCs w:val="28"/>
      <w:lang w:val="en-US" w:eastAsia="zh-CN" w:bidi="ar-SA"/>
    </w:rPr>
  </w:style>
  <w:style w:type="character" w:customStyle="1" w:styleId="314">
    <w:name w:val="Char Char26"/>
    <w:autoRedefine/>
    <w:qFormat/>
    <w:uiPriority w:val="6"/>
    <w:rPr>
      <w:kern w:val="1"/>
      <w:sz w:val="21"/>
      <w:szCs w:val="24"/>
    </w:rPr>
  </w:style>
  <w:style w:type="character" w:customStyle="1" w:styleId="315">
    <w:name w:val="Item List Char"/>
    <w:link w:val="316"/>
    <w:autoRedefine/>
    <w:qFormat/>
    <w:uiPriority w:val="0"/>
    <w:rPr>
      <w:rFonts w:ascii="Arial"/>
      <w:bCs/>
      <w:sz w:val="21"/>
      <w:szCs w:val="21"/>
      <w:lang w:val="en-US" w:eastAsia="zh-CN" w:bidi="ar-SA"/>
    </w:rPr>
  </w:style>
  <w:style w:type="paragraph" w:customStyle="1" w:styleId="316">
    <w:name w:val="Item List"/>
    <w:link w:val="315"/>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autoRedefine/>
    <w:qFormat/>
    <w:uiPriority w:val="0"/>
    <w:rPr>
      <w:rFonts w:ascii="Times New Roman" w:hAnsi="Times New Roman" w:eastAsia="宋体" w:cs="Times New Roman"/>
      <w:sz w:val="18"/>
      <w:szCs w:val="18"/>
    </w:rPr>
  </w:style>
  <w:style w:type="character" w:customStyle="1" w:styleId="318">
    <w:name w:val="纯文本 Char1"/>
    <w:link w:val="319"/>
    <w:autoRedefine/>
    <w:qFormat/>
    <w:uiPriority w:val="0"/>
    <w:rPr>
      <w:rFonts w:ascii="宋体" w:hAnsi="Courier New"/>
    </w:rPr>
  </w:style>
  <w:style w:type="paragraph" w:customStyle="1" w:styleId="319">
    <w:name w:val="纯文本1"/>
    <w:basedOn w:val="1"/>
    <w:link w:val="318"/>
    <w:autoRedefine/>
    <w:qFormat/>
    <w:uiPriority w:val="0"/>
    <w:pPr>
      <w:adjustRightInd/>
    </w:pPr>
    <w:rPr>
      <w:rFonts w:ascii="宋体" w:hAnsi="Courier New"/>
      <w:kern w:val="0"/>
      <w:sz w:val="20"/>
      <w:szCs w:val="20"/>
    </w:rPr>
  </w:style>
  <w:style w:type="character" w:customStyle="1" w:styleId="320">
    <w:name w:val="正文首行缩进 Char"/>
    <w:link w:val="24"/>
    <w:autoRedefine/>
    <w:qFormat/>
    <w:uiPriority w:val="0"/>
    <w:rPr>
      <w:rFonts w:ascii="宋体"/>
      <w:kern w:val="2"/>
      <w:sz w:val="24"/>
      <w:lang w:val="zh-CN"/>
    </w:rPr>
  </w:style>
  <w:style w:type="character" w:customStyle="1" w:styleId="321">
    <w:name w:val="h3 Char"/>
    <w:autoRedefine/>
    <w:qFormat/>
    <w:uiPriority w:val="0"/>
    <w:rPr>
      <w:rFonts w:eastAsia="宋体"/>
      <w:b/>
      <w:kern w:val="2"/>
      <w:sz w:val="32"/>
      <w:lang w:val="en-US" w:eastAsia="zh-CN" w:bidi="ar-SA"/>
    </w:rPr>
  </w:style>
  <w:style w:type="character" w:customStyle="1" w:styleId="322">
    <w:name w:val="dandyren_title1"/>
    <w:autoRedefine/>
    <w:qFormat/>
    <w:uiPriority w:val="0"/>
    <w:rPr>
      <w:b/>
      <w:bCs/>
      <w:color w:val="FF6633"/>
      <w:sz w:val="18"/>
      <w:szCs w:val="18"/>
    </w:rPr>
  </w:style>
  <w:style w:type="character" w:customStyle="1" w:styleId="323">
    <w:name w:val="Char Char31"/>
    <w:autoRedefine/>
    <w:qFormat/>
    <w:uiPriority w:val="6"/>
    <w:rPr>
      <w:rFonts w:ascii="Arial" w:hAnsi="Arial" w:eastAsia="黑体"/>
      <w:kern w:val="1"/>
      <w:sz w:val="24"/>
      <w:szCs w:val="24"/>
    </w:rPr>
  </w:style>
  <w:style w:type="character" w:customStyle="1" w:styleId="324">
    <w:name w:val="h Char1"/>
    <w:autoRedefine/>
    <w:qFormat/>
    <w:uiPriority w:val="0"/>
    <w:rPr>
      <w:sz w:val="18"/>
      <w:szCs w:val="18"/>
    </w:rPr>
  </w:style>
  <w:style w:type="character" w:customStyle="1" w:styleId="325">
    <w:name w:val="solutionfonts"/>
    <w:autoRedefine/>
    <w:qFormat/>
    <w:uiPriority w:val="0"/>
  </w:style>
  <w:style w:type="character" w:customStyle="1" w:styleId="326">
    <w:name w:val="标题 4 Char2"/>
    <w:link w:val="6"/>
    <w:autoRedefine/>
    <w:qFormat/>
    <w:uiPriority w:val="9"/>
    <w:rPr>
      <w:rFonts w:ascii="Arial" w:hAnsi="Arial" w:eastAsia="黑体"/>
      <w:b/>
      <w:bCs/>
      <w:kern w:val="2"/>
      <w:sz w:val="28"/>
      <w:szCs w:val="28"/>
      <w:lang w:val="zh-CN"/>
    </w:rPr>
  </w:style>
  <w:style w:type="character" w:customStyle="1" w:styleId="327">
    <w:name w:val="首行缩进 Char"/>
    <w:autoRedefine/>
    <w:qFormat/>
    <w:uiPriority w:val="0"/>
    <w:rPr>
      <w:rFonts w:ascii="宋体" w:eastAsia="宋体"/>
      <w:kern w:val="2"/>
      <w:sz w:val="24"/>
      <w:lang w:val="en-US" w:eastAsia="zh-CN" w:bidi="ar-SA"/>
    </w:rPr>
  </w:style>
  <w:style w:type="character" w:customStyle="1" w:styleId="328">
    <w:name w:val="Char Char52"/>
    <w:autoRedefine/>
    <w:qFormat/>
    <w:uiPriority w:val="0"/>
    <w:rPr>
      <w:rFonts w:ascii="宋体" w:hAnsi="Courier New" w:eastAsia="宋体"/>
      <w:kern w:val="2"/>
      <w:sz w:val="21"/>
      <w:lang w:val="en-US" w:eastAsia="zh-CN"/>
    </w:rPr>
  </w:style>
  <w:style w:type="character" w:customStyle="1" w:styleId="329">
    <w:name w:val="正文文本 3 Char"/>
    <w:link w:val="21"/>
    <w:autoRedefine/>
    <w:qFormat/>
    <w:uiPriority w:val="0"/>
    <w:rPr>
      <w:kern w:val="2"/>
      <w:sz w:val="21"/>
    </w:rPr>
  </w:style>
  <w:style w:type="character" w:customStyle="1" w:styleId="330">
    <w:name w:val="font31"/>
    <w:basedOn w:val="70"/>
    <w:autoRedefine/>
    <w:qFormat/>
    <w:uiPriority w:val="0"/>
    <w:rPr>
      <w:rFonts w:hint="eastAsia" w:ascii="仿宋" w:hAnsi="仿宋" w:eastAsia="仿宋" w:cs="仿宋"/>
      <w:color w:val="000000"/>
      <w:sz w:val="20"/>
      <w:szCs w:val="20"/>
      <w:u w:val="none"/>
    </w:rPr>
  </w:style>
  <w:style w:type="character" w:customStyle="1" w:styleId="331">
    <w:name w:val="正文说明 Char"/>
    <w:link w:val="332"/>
    <w:autoRedefine/>
    <w:qFormat/>
    <w:uiPriority w:val="0"/>
    <w:rPr>
      <w:sz w:val="24"/>
      <w:szCs w:val="24"/>
    </w:rPr>
  </w:style>
  <w:style w:type="paragraph" w:customStyle="1" w:styleId="332">
    <w:name w:val="正文说明"/>
    <w:basedOn w:val="1"/>
    <w:link w:val="331"/>
    <w:autoRedefine/>
    <w:qFormat/>
    <w:uiPriority w:val="0"/>
    <w:pPr>
      <w:adjustRightInd/>
      <w:spacing w:line="360" w:lineRule="auto"/>
    </w:pPr>
    <w:rPr>
      <w:kern w:val="0"/>
      <w:sz w:val="24"/>
    </w:rPr>
  </w:style>
  <w:style w:type="character" w:customStyle="1" w:styleId="333">
    <w:name w:val="脚注文本 Char1"/>
    <w:autoRedefine/>
    <w:qFormat/>
    <w:uiPriority w:val="0"/>
    <w:rPr>
      <w:rFonts w:ascii="Times New Roman" w:hAnsi="Times New Roman" w:eastAsia="宋体" w:cs="Times New Roman"/>
      <w:sz w:val="18"/>
      <w:szCs w:val="18"/>
    </w:rPr>
  </w:style>
  <w:style w:type="character" w:customStyle="1" w:styleId="334">
    <w:name w:val="Char Char1211"/>
    <w:autoRedefine/>
    <w:qFormat/>
    <w:uiPriority w:val="0"/>
    <w:rPr>
      <w:rFonts w:ascii="仿宋_GB2312" w:eastAsia="仿宋_GB2312"/>
      <w:b/>
      <w:bCs/>
      <w:kern w:val="2"/>
      <w:sz w:val="24"/>
      <w:szCs w:val="24"/>
      <w:lang w:val="zh-CN" w:eastAsia="zh-CN" w:bidi="ar-SA"/>
    </w:rPr>
  </w:style>
  <w:style w:type="character" w:customStyle="1" w:styleId="335">
    <w:name w:val="标题 Char"/>
    <w:autoRedefine/>
    <w:qFormat/>
    <w:uiPriority w:val="0"/>
    <w:rPr>
      <w:rFonts w:eastAsia="宋体"/>
      <w:b/>
      <w:sz w:val="24"/>
      <w:lang w:val="en-GB" w:eastAsia="zh-CN" w:bidi="ar-SA"/>
    </w:rPr>
  </w:style>
  <w:style w:type="character" w:customStyle="1" w:styleId="336">
    <w:name w:val="Char Char35"/>
    <w:autoRedefine/>
    <w:qFormat/>
    <w:uiPriority w:val="6"/>
    <w:rPr>
      <w:rFonts w:ascii="Arial" w:hAnsi="Arial" w:eastAsia="黑体"/>
      <w:b/>
      <w:kern w:val="1"/>
      <w:sz w:val="28"/>
      <w:szCs w:val="28"/>
      <w:lang w:val="zh-CN"/>
    </w:rPr>
  </w:style>
  <w:style w:type="character" w:customStyle="1" w:styleId="337">
    <w:name w:val="纯文本 Char Char Char"/>
    <w:autoRedefine/>
    <w:qFormat/>
    <w:uiPriority w:val="0"/>
    <w:rPr>
      <w:rFonts w:ascii="宋体" w:hAnsi="Courier New" w:eastAsia="宋体"/>
      <w:kern w:val="2"/>
      <w:sz w:val="21"/>
      <w:lang w:val="en-US" w:eastAsia="zh-CN" w:bidi="ar-SA"/>
    </w:rPr>
  </w:style>
  <w:style w:type="character" w:customStyle="1" w:styleId="338">
    <w:name w:val="Table Text Char"/>
    <w:link w:val="339"/>
    <w:autoRedefine/>
    <w:qFormat/>
    <w:uiPriority w:val="0"/>
    <w:rPr>
      <w:sz w:val="24"/>
      <w:szCs w:val="24"/>
    </w:rPr>
  </w:style>
  <w:style w:type="paragraph" w:customStyle="1" w:styleId="339">
    <w:name w:val="Table Text"/>
    <w:basedOn w:val="1"/>
    <w:link w:val="338"/>
    <w:autoRedefine/>
    <w:qFormat/>
    <w:uiPriority w:val="0"/>
    <w:pPr>
      <w:widowControl/>
      <w:spacing w:before="60" w:after="60"/>
      <w:jc w:val="left"/>
    </w:pPr>
    <w:rPr>
      <w:kern w:val="0"/>
      <w:sz w:val="24"/>
    </w:rPr>
  </w:style>
  <w:style w:type="character" w:customStyle="1" w:styleId="340">
    <w:name w:val="正文1 Char1"/>
    <w:autoRedefine/>
    <w:qFormat/>
    <w:uiPriority w:val="0"/>
    <w:rPr>
      <w:rFonts w:ascii="仿宋_GB2312" w:hAnsi="Courier New" w:eastAsia="仿宋_GB2312"/>
      <w:kern w:val="28"/>
      <w:sz w:val="24"/>
      <w:szCs w:val="24"/>
      <w:lang w:val="en-US" w:eastAsia="zh-CN"/>
    </w:rPr>
  </w:style>
  <w:style w:type="character" w:customStyle="1" w:styleId="341">
    <w:name w:val="页脚 Char1"/>
    <w:autoRedefine/>
    <w:qFormat/>
    <w:uiPriority w:val="0"/>
    <w:rPr>
      <w:rFonts w:eastAsia="宋体"/>
      <w:kern w:val="2"/>
      <w:sz w:val="18"/>
      <w:szCs w:val="18"/>
      <w:lang w:val="en-US" w:eastAsia="zh-CN" w:bidi="ar-SA"/>
    </w:rPr>
  </w:style>
  <w:style w:type="character" w:customStyle="1" w:styleId="342">
    <w:name w:val="Bold"/>
    <w:autoRedefine/>
    <w:qFormat/>
    <w:uiPriority w:val="0"/>
    <w:rPr>
      <w:rFonts w:ascii="Arial" w:hAnsi="Arial" w:eastAsia="黑体" w:cs="Times New Roman"/>
      <w:b/>
      <w:kern w:val="2"/>
      <w:sz w:val="32"/>
      <w:szCs w:val="32"/>
      <w:lang w:val="en-US" w:eastAsia="zh-CN" w:bidi="ar-SA"/>
    </w:rPr>
  </w:style>
  <w:style w:type="character" w:customStyle="1" w:styleId="343">
    <w:name w:val="批注文字 Char1"/>
    <w:link w:val="19"/>
    <w:autoRedefine/>
    <w:qFormat/>
    <w:uiPriority w:val="0"/>
    <w:rPr>
      <w:kern w:val="2"/>
      <w:sz w:val="21"/>
      <w:szCs w:val="24"/>
    </w:rPr>
  </w:style>
  <w:style w:type="character" w:customStyle="1" w:styleId="344">
    <w:name w:val="签名 Char"/>
    <w:link w:val="44"/>
    <w:autoRedefine/>
    <w:qFormat/>
    <w:uiPriority w:val="0"/>
    <w:rPr>
      <w:rFonts w:eastAsia="仿宋_GB2312"/>
      <w:sz w:val="24"/>
    </w:rPr>
  </w:style>
  <w:style w:type="character" w:customStyle="1" w:styleId="345">
    <w:name w:val="hui3"/>
    <w:autoRedefine/>
    <w:qFormat/>
    <w:uiPriority w:val="0"/>
    <w:rPr>
      <w:color w:val="333333"/>
    </w:rPr>
  </w:style>
  <w:style w:type="character" w:customStyle="1" w:styleId="346">
    <w:name w:val="Char Char17"/>
    <w:autoRedefine/>
    <w:qFormat/>
    <w:uiPriority w:val="6"/>
    <w:rPr>
      <w:rFonts w:eastAsia="仿宋_GB2312"/>
      <w:sz w:val="24"/>
    </w:rPr>
  </w:style>
  <w:style w:type="character" w:customStyle="1" w:styleId="347">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8">
    <w:name w:val="Char Char37"/>
    <w:autoRedefine/>
    <w:qFormat/>
    <w:uiPriority w:val="6"/>
    <w:rPr>
      <w:b/>
      <w:kern w:val="1"/>
      <w:sz w:val="44"/>
      <w:szCs w:val="44"/>
    </w:rPr>
  </w:style>
  <w:style w:type="character" w:customStyle="1" w:styleId="349">
    <w:name w:val="列出段落 Char"/>
    <w:autoRedefine/>
    <w:qFormat/>
    <w:uiPriority w:val="0"/>
    <w:rPr>
      <w:rFonts w:eastAsia="楷体_GB2312" w:cs="Lucida Sans"/>
      <w:kern w:val="2"/>
      <w:sz w:val="24"/>
      <w:szCs w:val="24"/>
      <w:lang w:val="en-US" w:eastAsia="zh-CN" w:bidi="ar-SA"/>
    </w:rPr>
  </w:style>
  <w:style w:type="character" w:customStyle="1" w:styleId="350">
    <w:name w:val="正文文本缩进 3 Char1"/>
    <w:autoRedefine/>
    <w:semiHidden/>
    <w:qFormat/>
    <w:uiPriority w:val="99"/>
    <w:rPr>
      <w:rFonts w:ascii="Times New Roman" w:hAnsi="Times New Roman" w:eastAsia="宋体" w:cs="Times New Roman"/>
      <w:sz w:val="16"/>
      <w:szCs w:val="16"/>
    </w:rPr>
  </w:style>
  <w:style w:type="character" w:customStyle="1" w:styleId="351">
    <w:name w:val="公文正文 Char Char"/>
    <w:link w:val="352"/>
    <w:autoRedefine/>
    <w:qFormat/>
    <w:uiPriority w:val="0"/>
    <w:rPr>
      <w:rFonts w:ascii="仿宋_GB2312" w:eastAsia="仿宋_GB2312"/>
      <w:kern w:val="2"/>
      <w:sz w:val="24"/>
      <w:szCs w:val="24"/>
    </w:rPr>
  </w:style>
  <w:style w:type="paragraph" w:customStyle="1" w:styleId="352">
    <w:name w:val="公文正文"/>
    <w:basedOn w:val="1"/>
    <w:link w:val="351"/>
    <w:autoRedefine/>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autoRedefine/>
    <w:qFormat/>
    <w:uiPriority w:val="0"/>
    <w:rPr>
      <w:rFonts w:eastAsia="宋体"/>
      <w:sz w:val="24"/>
      <w:szCs w:val="24"/>
      <w:lang w:val="en-US" w:eastAsia="zh-CN" w:bidi="ar-SA"/>
    </w:rPr>
  </w:style>
  <w:style w:type="character" w:customStyle="1" w:styleId="354">
    <w:name w:val="标题 1 Char Char"/>
    <w:autoRedefine/>
    <w:qFormat/>
    <w:uiPriority w:val="0"/>
    <w:rPr>
      <w:rFonts w:hint="eastAsia" w:ascii="宋体" w:hAnsi="宋体" w:eastAsia="宋体"/>
      <w:b/>
      <w:spacing w:val="-2"/>
      <w:sz w:val="24"/>
      <w:lang w:val="en-US" w:eastAsia="zh-CN" w:bidi="ar-SA"/>
    </w:rPr>
  </w:style>
  <w:style w:type="character" w:customStyle="1" w:styleId="355">
    <w:name w:val="正文（缩进2汉字） Char"/>
    <w:link w:val="356"/>
    <w:autoRedefine/>
    <w:qFormat/>
    <w:uiPriority w:val="0"/>
    <w:rPr>
      <w:rFonts w:ascii="宋体"/>
    </w:rPr>
  </w:style>
  <w:style w:type="paragraph" w:customStyle="1" w:styleId="356">
    <w:name w:val="正文（缩进2汉字）"/>
    <w:basedOn w:val="1"/>
    <w:link w:val="355"/>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0"/>
    <w:autoRedefine/>
    <w:qFormat/>
    <w:uiPriority w:val="0"/>
    <w:rPr>
      <w:rFonts w:ascii="Arial" w:hAnsi="Arial" w:eastAsia="黑体"/>
      <w:kern w:val="2"/>
      <w:sz w:val="24"/>
      <w:szCs w:val="24"/>
    </w:rPr>
  </w:style>
  <w:style w:type="character" w:customStyle="1" w:styleId="358">
    <w:name w:val="标书表格字体格式 Char"/>
    <w:autoRedefine/>
    <w:qFormat/>
    <w:uiPriority w:val="0"/>
    <w:rPr>
      <w:kern w:val="2"/>
      <w:sz w:val="21"/>
      <w:szCs w:val="24"/>
      <w:lang w:bidi="ar-SA"/>
    </w:rPr>
  </w:style>
  <w:style w:type="character" w:customStyle="1" w:styleId="359">
    <w:name w:val="tw4winError"/>
    <w:autoRedefine/>
    <w:qFormat/>
    <w:uiPriority w:val="0"/>
    <w:rPr>
      <w:rFonts w:ascii="Courier New" w:hAnsi="Courier New" w:cs="Courier New"/>
      <w:color w:val="00FF00"/>
      <w:sz w:val="40"/>
      <w:szCs w:val="40"/>
    </w:rPr>
  </w:style>
  <w:style w:type="character" w:customStyle="1" w:styleId="360">
    <w:name w:val="Body Text(ch) Char Char"/>
    <w:autoRedefine/>
    <w:qFormat/>
    <w:uiPriority w:val="0"/>
    <w:rPr>
      <w:rFonts w:ascii="宋体"/>
      <w:kern w:val="2"/>
      <w:sz w:val="24"/>
      <w:szCs w:val="21"/>
      <w:lang w:val="zh-CN"/>
    </w:rPr>
  </w:style>
  <w:style w:type="character" w:customStyle="1" w:styleId="361">
    <w:name w:val="正文首行缩进两字 Char"/>
    <w:autoRedefine/>
    <w:qFormat/>
    <w:uiPriority w:val="0"/>
    <w:rPr>
      <w:sz w:val="24"/>
      <w:szCs w:val="24"/>
      <w:lang w:val="en-US" w:eastAsia="zh-CN" w:bidi="ar-SA"/>
    </w:rPr>
  </w:style>
  <w:style w:type="character" w:customStyle="1" w:styleId="362">
    <w:name w:val="正文文本 Char"/>
    <w:autoRedefine/>
    <w:qFormat/>
    <w:uiPriority w:val="0"/>
    <w:rPr>
      <w:rFonts w:eastAsia="宋体"/>
      <w:kern w:val="2"/>
      <w:sz w:val="24"/>
      <w:szCs w:val="24"/>
      <w:lang w:val="en-US" w:eastAsia="zh-CN" w:bidi="ar-SA"/>
    </w:rPr>
  </w:style>
  <w:style w:type="character" w:customStyle="1" w:styleId="363">
    <w:name w:val="文档结构图 字符1"/>
    <w:autoRedefine/>
    <w:qFormat/>
    <w:uiPriority w:val="0"/>
    <w:rPr>
      <w:rFonts w:ascii="宋体" w:hAnsi="Calibri" w:eastAsia="黑体" w:cs="Arial"/>
      <w:snapToGrid w:val="0"/>
      <w:kern w:val="2"/>
      <w:sz w:val="18"/>
      <w:szCs w:val="18"/>
    </w:rPr>
  </w:style>
  <w:style w:type="character" w:customStyle="1" w:styleId="364">
    <w:name w:val="content"/>
    <w:autoRedefine/>
    <w:qFormat/>
    <w:uiPriority w:val="0"/>
  </w:style>
  <w:style w:type="character" w:customStyle="1" w:styleId="365">
    <w:name w:val="tw4winPopup"/>
    <w:autoRedefine/>
    <w:qFormat/>
    <w:uiPriority w:val="0"/>
    <w:rPr>
      <w:rFonts w:ascii="Courier New" w:hAnsi="Courier New" w:cs="Courier New"/>
      <w:color w:val="008000"/>
      <w:lang w:val="en-US" w:eastAsia="zh-CN"/>
    </w:rPr>
  </w:style>
  <w:style w:type="character" w:customStyle="1" w:styleId="366">
    <w:name w:val="param-name"/>
    <w:autoRedefine/>
    <w:qFormat/>
    <w:uiPriority w:val="99"/>
    <w:rPr>
      <w:rFonts w:ascii="Arial" w:hAnsi="Arial" w:eastAsia="黑体" w:cs="Arial"/>
      <w:snapToGrid w:val="0"/>
      <w:kern w:val="0"/>
      <w:szCs w:val="21"/>
    </w:rPr>
  </w:style>
  <w:style w:type="character" w:customStyle="1" w:styleId="367">
    <w:name w:val="标准正文格式 Char"/>
    <w:autoRedefine/>
    <w:qFormat/>
    <w:uiPriority w:val="0"/>
    <w:rPr>
      <w:rFonts w:ascii="宋体" w:eastAsia="仿宋_GB2312" w:cs="宋体"/>
      <w:color w:val="000000"/>
      <w:sz w:val="24"/>
      <w:lang w:val="en-US" w:eastAsia="zh-CN" w:bidi="ar-SA"/>
    </w:rPr>
  </w:style>
  <w:style w:type="character" w:customStyle="1" w:styleId="368">
    <w:name w:val="Char Char212"/>
    <w:autoRedefine/>
    <w:qFormat/>
    <w:uiPriority w:val="0"/>
    <w:rPr>
      <w:rFonts w:eastAsia="宋体"/>
      <w:b/>
      <w:bCs/>
      <w:kern w:val="2"/>
      <w:sz w:val="21"/>
      <w:szCs w:val="24"/>
      <w:lang w:val="en-US" w:eastAsia="zh-CN" w:bidi="ar-SA"/>
    </w:rPr>
  </w:style>
  <w:style w:type="character" w:customStyle="1" w:styleId="369">
    <w:name w:val="文档结构图 Char"/>
    <w:autoRedefine/>
    <w:qFormat/>
    <w:uiPriority w:val="0"/>
    <w:rPr>
      <w:rFonts w:eastAsia="宋体"/>
      <w:kern w:val="2"/>
      <w:sz w:val="21"/>
      <w:szCs w:val="24"/>
      <w:lang w:val="en-US" w:eastAsia="zh-CN" w:bidi="ar-SA"/>
    </w:rPr>
  </w:style>
  <w:style w:type="character" w:customStyle="1" w:styleId="370">
    <w:name w:val="zbggmain style9"/>
    <w:autoRedefine/>
    <w:qFormat/>
    <w:uiPriority w:val="0"/>
  </w:style>
  <w:style w:type="character" w:customStyle="1" w:styleId="371">
    <w:name w:val="Char Char16"/>
    <w:autoRedefine/>
    <w:qFormat/>
    <w:uiPriority w:val="6"/>
    <w:rPr>
      <w:kern w:val="1"/>
      <w:sz w:val="18"/>
      <w:szCs w:val="18"/>
    </w:rPr>
  </w:style>
  <w:style w:type="character" w:customStyle="1" w:styleId="372">
    <w:name w:val="font51"/>
    <w:autoRedefine/>
    <w:qFormat/>
    <w:uiPriority w:val="0"/>
    <w:rPr>
      <w:rFonts w:hint="eastAsia" w:ascii="仿宋" w:hAnsi="仿宋" w:eastAsia="仿宋" w:cs="仿宋"/>
      <w:color w:val="000000"/>
      <w:sz w:val="20"/>
      <w:szCs w:val="20"/>
      <w:u w:val="none"/>
    </w:rPr>
  </w:style>
  <w:style w:type="character" w:customStyle="1" w:styleId="373">
    <w:name w:val="Char Char82"/>
    <w:autoRedefine/>
    <w:qFormat/>
    <w:uiPriority w:val="0"/>
    <w:rPr>
      <w:rFonts w:eastAsia="宋体"/>
      <w:b/>
      <w:sz w:val="24"/>
      <w:lang w:val="en-GB" w:eastAsia="zh-CN"/>
    </w:rPr>
  </w:style>
  <w:style w:type="character" w:customStyle="1" w:styleId="374">
    <w:name w:val="正文文本缩进 3 Char"/>
    <w:link w:val="55"/>
    <w:autoRedefine/>
    <w:qFormat/>
    <w:uiPriority w:val="0"/>
    <w:rPr>
      <w:kern w:val="2"/>
      <w:sz w:val="24"/>
    </w:rPr>
  </w:style>
  <w:style w:type="character" w:customStyle="1" w:styleId="375">
    <w:name w:val="日期 Char1"/>
    <w:autoRedefine/>
    <w:semiHidden/>
    <w:qFormat/>
    <w:uiPriority w:val="99"/>
    <w:rPr>
      <w:rFonts w:ascii="Times New Roman" w:hAnsi="Times New Roman" w:eastAsia="宋体" w:cs="Times New Roman"/>
      <w:szCs w:val="24"/>
    </w:rPr>
  </w:style>
  <w:style w:type="character" w:customStyle="1" w:styleId="376">
    <w:name w:val="页眉 字符"/>
    <w:autoRedefine/>
    <w:qFormat/>
    <w:uiPriority w:val="99"/>
    <w:rPr>
      <w:kern w:val="2"/>
      <w:sz w:val="18"/>
      <w:szCs w:val="18"/>
    </w:rPr>
  </w:style>
  <w:style w:type="character" w:customStyle="1" w:styleId="377">
    <w:name w:val="Char Char33"/>
    <w:autoRedefine/>
    <w:qFormat/>
    <w:uiPriority w:val="6"/>
    <w:rPr>
      <w:rFonts w:ascii="Arial" w:hAnsi="Arial" w:eastAsia="黑体"/>
      <w:b/>
      <w:kern w:val="1"/>
      <w:sz w:val="24"/>
      <w:szCs w:val="24"/>
    </w:rPr>
  </w:style>
  <w:style w:type="character" w:customStyle="1" w:styleId="378">
    <w:name w:val="b11_01b Char"/>
    <w:link w:val="379"/>
    <w:autoRedefine/>
    <w:qFormat/>
    <w:uiPriority w:val="0"/>
    <w:rPr>
      <w:rFonts w:ascii="Verdana" w:hAnsi="Verdana"/>
      <w:b/>
      <w:bCs/>
      <w:color w:val="4A82CA"/>
      <w:sz w:val="17"/>
      <w:szCs w:val="17"/>
    </w:rPr>
  </w:style>
  <w:style w:type="paragraph" w:customStyle="1" w:styleId="379">
    <w:name w:val="b11_01b"/>
    <w:basedOn w:val="1"/>
    <w:next w:val="1"/>
    <w:link w:val="378"/>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autoRedefine/>
    <w:qFormat/>
    <w:uiPriority w:val="6"/>
    <w:rPr>
      <w:rFonts w:ascii="仿宋_GB2312" w:eastAsia="仿宋_GB2312"/>
      <w:b/>
      <w:bCs/>
      <w:kern w:val="2"/>
      <w:sz w:val="24"/>
      <w:szCs w:val="24"/>
      <w:lang w:val="zh-CN" w:eastAsia="zh-CN" w:bidi="ar-SA"/>
    </w:rPr>
  </w:style>
  <w:style w:type="character" w:customStyle="1" w:styleId="381">
    <w:name w:val="Footer-Even Char"/>
    <w:autoRedefine/>
    <w:qFormat/>
    <w:uiPriority w:val="0"/>
    <w:rPr>
      <w:rFonts w:eastAsia="宋体"/>
      <w:kern w:val="2"/>
      <w:sz w:val="18"/>
      <w:lang w:val="en-US" w:eastAsia="zh-CN" w:bidi="ar-SA"/>
    </w:rPr>
  </w:style>
  <w:style w:type="character" w:customStyle="1" w:styleId="382">
    <w:name w:val="页脚 Char2"/>
    <w:link w:val="41"/>
    <w:autoRedefine/>
    <w:qFormat/>
    <w:locked/>
    <w:uiPriority w:val="99"/>
    <w:rPr>
      <w:kern w:val="2"/>
      <w:sz w:val="18"/>
      <w:szCs w:val="18"/>
    </w:rPr>
  </w:style>
  <w:style w:type="character" w:customStyle="1" w:styleId="383">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4">
    <w:name w:val="Char Char61"/>
    <w:autoRedefine/>
    <w:qFormat/>
    <w:uiPriority w:val="6"/>
    <w:rPr>
      <w:rFonts w:eastAsia="宋体"/>
      <w:kern w:val="2"/>
      <w:sz w:val="21"/>
      <w:szCs w:val="24"/>
      <w:lang w:val="en-US" w:eastAsia="zh-CN" w:bidi="ar-SA"/>
    </w:rPr>
  </w:style>
  <w:style w:type="character" w:customStyle="1" w:styleId="385">
    <w:name w:val="正文文字缩进 2 Char Char"/>
    <w:autoRedefine/>
    <w:qFormat/>
    <w:uiPriority w:val="0"/>
    <w:rPr>
      <w:rFonts w:ascii="宋体"/>
      <w:sz w:val="28"/>
    </w:rPr>
  </w:style>
  <w:style w:type="character" w:customStyle="1" w:styleId="386">
    <w:name w:val="f141"/>
    <w:autoRedefine/>
    <w:qFormat/>
    <w:uiPriority w:val="0"/>
    <w:rPr>
      <w:rFonts w:ascii="Tahoma" w:hAnsi="Tahoma" w:eastAsia="宋体"/>
      <w:b/>
      <w:kern w:val="2"/>
      <w:sz w:val="21"/>
      <w:szCs w:val="21"/>
      <w:lang w:val="en-US" w:eastAsia="zh-CN" w:bidi="ar-SA"/>
    </w:rPr>
  </w:style>
  <w:style w:type="character" w:customStyle="1" w:styleId="387">
    <w:name w:val="段落 Char Char"/>
    <w:link w:val="388"/>
    <w:autoRedefine/>
    <w:qFormat/>
    <w:uiPriority w:val="0"/>
    <w:rPr>
      <w:rFonts w:ascii="宋体" w:hAnsi="宋体"/>
      <w:sz w:val="24"/>
    </w:rPr>
  </w:style>
  <w:style w:type="paragraph" w:customStyle="1" w:styleId="388">
    <w:name w:val="段落"/>
    <w:basedOn w:val="1"/>
    <w:link w:val="387"/>
    <w:autoRedefine/>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autoRedefine/>
    <w:qFormat/>
    <w:uiPriority w:val="0"/>
    <w:rPr>
      <w:rFonts w:eastAsia="宋体"/>
      <w:b/>
      <w:bCs/>
      <w:kern w:val="2"/>
      <w:sz w:val="32"/>
      <w:szCs w:val="32"/>
      <w:lang w:val="en-US" w:eastAsia="zh-CN" w:bidi="ar-SA"/>
    </w:rPr>
  </w:style>
  <w:style w:type="character" w:customStyle="1" w:styleId="390">
    <w:name w:val="apple-converted-space"/>
    <w:autoRedefine/>
    <w:qFormat/>
    <w:uiPriority w:val="0"/>
  </w:style>
  <w:style w:type="character" w:customStyle="1" w:styleId="391">
    <w:name w:val="页眉 Char2"/>
    <w:link w:val="43"/>
    <w:autoRedefine/>
    <w:qFormat/>
    <w:uiPriority w:val="99"/>
    <w:rPr>
      <w:kern w:val="2"/>
      <w:sz w:val="18"/>
      <w:szCs w:val="18"/>
    </w:rPr>
  </w:style>
  <w:style w:type="character" w:customStyle="1" w:styleId="392">
    <w:name w:val="Char Char9"/>
    <w:autoRedefine/>
    <w:qFormat/>
    <w:uiPriority w:val="0"/>
    <w:rPr>
      <w:rFonts w:eastAsia="宋体"/>
      <w:kern w:val="2"/>
      <w:sz w:val="18"/>
      <w:szCs w:val="18"/>
      <w:lang w:val="en-US" w:eastAsia="zh-CN" w:bidi="ar-SA"/>
    </w:rPr>
  </w:style>
  <w:style w:type="character" w:customStyle="1" w:styleId="393">
    <w:name w:val="Char Char41"/>
    <w:autoRedefine/>
    <w:qFormat/>
    <w:uiPriority w:val="0"/>
    <w:rPr>
      <w:rFonts w:eastAsia="宋体"/>
      <w:b/>
      <w:sz w:val="24"/>
      <w:lang w:val="en-GB" w:eastAsia="zh-CN" w:bidi="ar-SA"/>
    </w:rPr>
  </w:style>
  <w:style w:type="character" w:customStyle="1" w:styleId="394">
    <w:name w:val="large1"/>
    <w:autoRedefine/>
    <w:qFormat/>
    <w:uiPriority w:val="0"/>
    <w:rPr>
      <w:rFonts w:hint="eastAsia" w:ascii="宋体" w:hAnsi="宋体" w:eastAsia="宋体"/>
      <w:sz w:val="21"/>
      <w:szCs w:val="21"/>
    </w:rPr>
  </w:style>
  <w:style w:type="character" w:customStyle="1" w:styleId="395">
    <w:name w:val="正文段 Char"/>
    <w:link w:val="396"/>
    <w:autoRedefine/>
    <w:qFormat/>
    <w:uiPriority w:val="0"/>
    <w:rPr>
      <w:sz w:val="24"/>
    </w:rPr>
  </w:style>
  <w:style w:type="paragraph" w:customStyle="1" w:styleId="396">
    <w:name w:val="正文段"/>
    <w:basedOn w:val="1"/>
    <w:link w:val="395"/>
    <w:autoRedefine/>
    <w:qFormat/>
    <w:uiPriority w:val="0"/>
    <w:pPr>
      <w:widowControl/>
      <w:snapToGrid w:val="0"/>
      <w:spacing w:afterLines="50"/>
      <w:ind w:firstLine="200" w:firstLineChars="200"/>
    </w:pPr>
    <w:rPr>
      <w:kern w:val="0"/>
      <w:sz w:val="24"/>
      <w:szCs w:val="20"/>
    </w:rPr>
  </w:style>
  <w:style w:type="character" w:customStyle="1" w:styleId="397">
    <w:name w:val="Char Char13"/>
    <w:autoRedefine/>
    <w:qFormat/>
    <w:uiPriority w:val="6"/>
    <w:rPr>
      <w:rFonts w:ascii="宋体" w:hAnsi="宋体"/>
      <w:kern w:val="1"/>
      <w:sz w:val="21"/>
      <w:szCs w:val="24"/>
    </w:rPr>
  </w:style>
  <w:style w:type="character" w:customStyle="1" w:styleId="398">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autoRedefine/>
    <w:qFormat/>
    <w:uiPriority w:val="0"/>
    <w:rPr>
      <w:rFonts w:ascii="宋体" w:hAnsi="宋体"/>
      <w:kern w:val="2"/>
      <w:sz w:val="24"/>
      <w:szCs w:val="22"/>
    </w:rPr>
  </w:style>
  <w:style w:type="paragraph" w:customStyle="1" w:styleId="400">
    <w:name w:val="冯广丽"/>
    <w:basedOn w:val="1"/>
    <w:link w:val="399"/>
    <w:autoRedefine/>
    <w:qFormat/>
    <w:uiPriority w:val="0"/>
    <w:pPr>
      <w:adjustRightInd/>
      <w:spacing w:line="360" w:lineRule="auto"/>
      <w:ind w:firstLine="480" w:firstLineChars="200"/>
    </w:pPr>
    <w:rPr>
      <w:rFonts w:ascii="宋体" w:hAnsi="宋体"/>
      <w:sz w:val="24"/>
      <w:szCs w:val="22"/>
    </w:rPr>
  </w:style>
  <w:style w:type="character" w:customStyle="1" w:styleId="401">
    <w:name w:val="批注文字 字符"/>
    <w:autoRedefine/>
    <w:qFormat/>
    <w:uiPriority w:val="0"/>
    <w:rPr>
      <w:rFonts w:ascii="Arial" w:hAnsi="Arial" w:eastAsia="黑体" w:cs="Arial"/>
      <w:snapToGrid w:val="0"/>
      <w:kern w:val="0"/>
      <w:szCs w:val="21"/>
    </w:rPr>
  </w:style>
  <w:style w:type="character" w:customStyle="1" w:styleId="402">
    <w:name w:val="Char Char161"/>
    <w:autoRedefine/>
    <w:qFormat/>
    <w:uiPriority w:val="0"/>
    <w:rPr>
      <w:rFonts w:eastAsia="宋体"/>
      <w:b/>
      <w:kern w:val="2"/>
      <w:sz w:val="32"/>
      <w:lang w:val="en-US" w:eastAsia="zh-CN"/>
    </w:rPr>
  </w:style>
  <w:style w:type="character" w:customStyle="1" w:styleId="403">
    <w:name w:val="javascript"/>
    <w:autoRedefine/>
    <w:qFormat/>
    <w:uiPriority w:val="0"/>
  </w:style>
  <w:style w:type="character" w:customStyle="1" w:styleId="404">
    <w:name w:val="图名 Char"/>
    <w:autoRedefine/>
    <w:qFormat/>
    <w:uiPriority w:val="0"/>
    <w:rPr>
      <w:rFonts w:ascii="Arial" w:hAnsi="Arial" w:eastAsia="黑体"/>
      <w:kern w:val="2"/>
      <w:sz w:val="24"/>
      <w:szCs w:val="24"/>
      <w:lang w:val="en-US" w:eastAsia="zh-CN" w:bidi="ar-SA"/>
    </w:rPr>
  </w:style>
  <w:style w:type="character" w:customStyle="1" w:styleId="405">
    <w:name w:val="Used by Word for text of Help footnotes Char Char"/>
    <w:autoRedefine/>
    <w:qFormat/>
    <w:uiPriority w:val="0"/>
    <w:rPr>
      <w:rFonts w:ascii="Times New Roman" w:hAnsi="Times New Roman" w:eastAsia="宋体" w:cs="Times New Roman"/>
      <w:sz w:val="20"/>
      <w:szCs w:val="20"/>
    </w:rPr>
  </w:style>
  <w:style w:type="character" w:customStyle="1" w:styleId="406">
    <w:name w:val="编号，小四 Char"/>
    <w:link w:val="407"/>
    <w:autoRedefine/>
    <w:qFormat/>
    <w:uiPriority w:val="0"/>
    <w:rPr>
      <w:rFonts w:ascii="Arial" w:hAnsi="Arial"/>
      <w:sz w:val="24"/>
    </w:rPr>
  </w:style>
  <w:style w:type="paragraph" w:customStyle="1" w:styleId="407">
    <w:name w:val="编号，小四"/>
    <w:basedOn w:val="1"/>
    <w:link w:val="406"/>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autoRedefine/>
    <w:qFormat/>
    <w:uiPriority w:val="99"/>
    <w:rPr>
      <w:rFonts w:ascii="宋体" w:eastAsia="宋体" w:cs="宋体"/>
      <w:color w:val="000000"/>
      <w:sz w:val="14"/>
      <w:szCs w:val="14"/>
    </w:rPr>
  </w:style>
  <w:style w:type="character" w:customStyle="1" w:styleId="409">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0">
    <w:name w:val="未用 Char"/>
    <w:autoRedefine/>
    <w:qFormat/>
    <w:uiPriority w:val="0"/>
    <w:rPr>
      <w:rFonts w:ascii="Arial" w:hAnsi="Arial" w:eastAsia="黑体"/>
      <w:kern w:val="2"/>
      <w:sz w:val="21"/>
      <w:szCs w:val="21"/>
      <w:lang w:val="en-US" w:eastAsia="zh-CN" w:bidi="ar-SA"/>
    </w:rPr>
  </w:style>
  <w:style w:type="character" w:customStyle="1" w:styleId="411">
    <w:name w:val="myp1111"/>
    <w:autoRedefine/>
    <w:qFormat/>
    <w:uiPriority w:val="0"/>
    <w:rPr>
      <w:rFonts w:hint="default" w:ascii="ˎ̥" w:hAnsi="ˎ̥"/>
      <w:color w:val="000000"/>
      <w:sz w:val="20"/>
      <w:szCs w:val="20"/>
      <w:u w:val="none"/>
    </w:rPr>
  </w:style>
  <w:style w:type="character" w:customStyle="1" w:styleId="412">
    <w:name w:val="样式 标题 4h4H4Fab-4T5Ref Heading 1rh1Heading sqlsect 1.2.3.... Char"/>
    <w:link w:val="304"/>
    <w:autoRedefine/>
    <w:qFormat/>
    <w:uiPriority w:val="0"/>
    <w:rPr>
      <w:rFonts w:ascii="微软雅黑" w:hAnsi="微软雅黑" w:eastAsia="微软雅黑"/>
      <w:b/>
      <w:bCs/>
      <w:kern w:val="2"/>
      <w:sz w:val="24"/>
      <w:szCs w:val="28"/>
    </w:rPr>
  </w:style>
  <w:style w:type="character" w:customStyle="1" w:styleId="413">
    <w:name w:val="h Char Char"/>
    <w:autoRedefine/>
    <w:qFormat/>
    <w:uiPriority w:val="0"/>
    <w:rPr>
      <w:rFonts w:eastAsia="宋体"/>
      <w:kern w:val="2"/>
      <w:sz w:val="18"/>
      <w:lang w:val="en-US" w:eastAsia="zh-CN" w:bidi="ar-SA"/>
    </w:rPr>
  </w:style>
  <w:style w:type="character" w:customStyle="1" w:styleId="414">
    <w:name w:val="仿宋正文 Char"/>
    <w:link w:val="415"/>
    <w:autoRedefine/>
    <w:qFormat/>
    <w:uiPriority w:val="0"/>
    <w:rPr>
      <w:rFonts w:ascii="仿宋_GB2312" w:eastAsia="仿宋_GB2312"/>
      <w:kern w:val="2"/>
      <w:sz w:val="24"/>
      <w:lang w:val="en-US" w:eastAsia="zh-CN" w:bidi="ar-SA"/>
    </w:rPr>
  </w:style>
  <w:style w:type="paragraph" w:customStyle="1" w:styleId="415">
    <w:name w:val="仿宋正文"/>
    <w:basedOn w:val="1"/>
    <w:link w:val="414"/>
    <w:autoRedefine/>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autoRedefine/>
    <w:qFormat/>
    <w:uiPriority w:val="0"/>
    <w:rPr>
      <w:rFonts w:ascii="宋体" w:eastAsia="宋体"/>
      <w:kern w:val="2"/>
      <w:sz w:val="24"/>
      <w:lang w:val="zh-CN" w:bidi="ar-SA"/>
    </w:rPr>
  </w:style>
  <w:style w:type="character" w:customStyle="1" w:styleId="417">
    <w:name w:val="样式 宋体"/>
    <w:autoRedefine/>
    <w:qFormat/>
    <w:uiPriority w:val="0"/>
    <w:rPr>
      <w:rFonts w:ascii="宋体" w:hAnsi="宋体"/>
      <w:sz w:val="24"/>
    </w:rPr>
  </w:style>
  <w:style w:type="character" w:customStyle="1" w:styleId="418">
    <w:name w:val="tw4winJump"/>
    <w:autoRedefine/>
    <w:qFormat/>
    <w:uiPriority w:val="0"/>
    <w:rPr>
      <w:rFonts w:ascii="Courier New" w:hAnsi="Courier New" w:cs="Courier New"/>
      <w:color w:val="008080"/>
      <w:lang w:val="en-US" w:eastAsia="zh-CN"/>
    </w:rPr>
  </w:style>
  <w:style w:type="character" w:customStyle="1" w:styleId="419">
    <w:name w:val="标题 1 字符"/>
    <w:autoRedefine/>
    <w:qFormat/>
    <w:uiPriority w:val="9"/>
    <w:rPr>
      <w:rFonts w:ascii="Arial" w:hAnsi="Arial" w:eastAsia="黑体" w:cs="Arial"/>
      <w:b/>
      <w:bCs/>
      <w:snapToGrid w:val="0"/>
      <w:kern w:val="44"/>
      <w:sz w:val="44"/>
      <w:szCs w:val="44"/>
    </w:rPr>
  </w:style>
  <w:style w:type="character" w:customStyle="1" w:styleId="420">
    <w:name w:val="style36"/>
    <w:basedOn w:val="70"/>
    <w:autoRedefine/>
    <w:qFormat/>
    <w:uiPriority w:val="0"/>
    <w:rPr>
      <w:rFonts w:ascii="Arial" w:hAnsi="Arial" w:eastAsia="黑体" w:cs="Arial"/>
      <w:snapToGrid w:val="0"/>
      <w:kern w:val="0"/>
      <w:szCs w:val="21"/>
    </w:rPr>
  </w:style>
  <w:style w:type="character" w:customStyle="1" w:styleId="421">
    <w:name w:val="pt9"/>
    <w:autoRedefine/>
    <w:qFormat/>
    <w:uiPriority w:val="0"/>
    <w:rPr>
      <w:rFonts w:ascii="仿宋_GB2312" w:eastAsia="微软雅黑"/>
      <w:b/>
      <w:kern w:val="2"/>
      <w:sz w:val="32"/>
      <w:szCs w:val="32"/>
      <w:lang w:val="en-US" w:eastAsia="zh-CN" w:bidi="ar-SA"/>
    </w:rPr>
  </w:style>
  <w:style w:type="character" w:customStyle="1" w:styleId="422">
    <w:name w:val="DO_NOT_TRANSLATE"/>
    <w:autoRedefine/>
    <w:qFormat/>
    <w:uiPriority w:val="0"/>
    <w:rPr>
      <w:rFonts w:ascii="Courier New" w:hAnsi="Courier New" w:cs="Courier New"/>
      <w:color w:val="800000"/>
      <w:lang w:val="en-US" w:eastAsia="zh-CN"/>
    </w:rPr>
  </w:style>
  <w:style w:type="character" w:customStyle="1" w:styleId="423">
    <w:name w:val="标书1 Char1"/>
    <w:autoRedefine/>
    <w:qFormat/>
    <w:uiPriority w:val="0"/>
    <w:rPr>
      <w:rFonts w:eastAsia="宋体"/>
      <w:b/>
      <w:bCs/>
      <w:kern w:val="44"/>
      <w:sz w:val="44"/>
      <w:szCs w:val="44"/>
      <w:lang w:val="en-US" w:eastAsia="zh-CN" w:bidi="ar-SA"/>
    </w:rPr>
  </w:style>
  <w:style w:type="character" w:customStyle="1" w:styleId="424">
    <w:name w:val="页脚 字符"/>
    <w:autoRedefine/>
    <w:qFormat/>
    <w:uiPriority w:val="99"/>
    <w:rPr>
      <w:kern w:val="2"/>
      <w:sz w:val="18"/>
      <w:szCs w:val="18"/>
    </w:rPr>
  </w:style>
  <w:style w:type="character" w:customStyle="1" w:styleId="425">
    <w:name w:val="正文2 Char"/>
    <w:autoRedefine/>
    <w:qFormat/>
    <w:uiPriority w:val="0"/>
    <w:rPr>
      <w:rFonts w:eastAsia="宋体"/>
      <w:kern w:val="2"/>
      <w:sz w:val="24"/>
      <w:lang w:val="en-US" w:eastAsia="zh-CN" w:bidi="ar-SA"/>
    </w:rPr>
  </w:style>
  <w:style w:type="character" w:customStyle="1" w:styleId="426">
    <w:name w:val="Char Char21"/>
    <w:autoRedefine/>
    <w:qFormat/>
    <w:uiPriority w:val="6"/>
    <w:rPr>
      <w:rFonts w:ascii="宋体" w:hAnsi="宋体"/>
      <w:kern w:val="1"/>
      <w:sz w:val="24"/>
      <w:szCs w:val="21"/>
      <w:lang w:val="zh-CN"/>
    </w:rPr>
  </w:style>
  <w:style w:type="character" w:customStyle="1" w:styleId="427">
    <w:name w:val="样式 正文缩进 + 首行缩进:  2 字符 Char Char"/>
    <w:link w:val="428"/>
    <w:autoRedefine/>
    <w:qFormat/>
    <w:uiPriority w:val="0"/>
    <w:rPr>
      <w:rFonts w:cs="宋体"/>
      <w:kern w:val="2"/>
      <w:sz w:val="24"/>
    </w:rPr>
  </w:style>
  <w:style w:type="paragraph" w:customStyle="1" w:styleId="428">
    <w:name w:val="样式 正文缩进 + 首行缩进:  2 字符"/>
    <w:basedOn w:val="5"/>
    <w:link w:val="427"/>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30">
    <w:name w:val="gray6"/>
    <w:basedOn w:val="70"/>
    <w:autoRedefine/>
    <w:qFormat/>
    <w:uiPriority w:val="0"/>
    <w:rPr>
      <w:rFonts w:ascii="Arial" w:hAnsi="Arial" w:eastAsia="黑体" w:cs="Arial"/>
      <w:snapToGrid w:val="0"/>
      <w:kern w:val="0"/>
      <w:szCs w:val="21"/>
    </w:rPr>
  </w:style>
  <w:style w:type="character" w:customStyle="1" w:styleId="431">
    <w:name w:val="hui"/>
    <w:basedOn w:val="70"/>
    <w:autoRedefine/>
    <w:qFormat/>
    <w:uiPriority w:val="0"/>
    <w:rPr>
      <w:rFonts w:ascii="Arial" w:hAnsi="Arial" w:eastAsia="黑体" w:cs="Arial"/>
      <w:snapToGrid w:val="0"/>
      <w:kern w:val="0"/>
      <w:szCs w:val="21"/>
    </w:rPr>
  </w:style>
  <w:style w:type="character" w:customStyle="1" w:styleId="432">
    <w:name w:val="哈哈正文 Char Char"/>
    <w:autoRedefine/>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5"/>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autoRedefine/>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autoRedefine/>
    <w:qFormat/>
    <w:uiPriority w:val="0"/>
    <w:pPr>
      <w:spacing w:before="120" w:line="360" w:lineRule="auto"/>
      <w:ind w:firstLine="567"/>
    </w:pPr>
    <w:rPr>
      <w:rFonts w:ascii="Arial" w:hAnsi="Arial"/>
      <w:sz w:val="20"/>
      <w:szCs w:val="20"/>
    </w:rPr>
  </w:style>
  <w:style w:type="paragraph" w:customStyle="1" w:styleId="443">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autoRedefine/>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autoRedefine/>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0">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autoRedefine/>
    <w:qFormat/>
    <w:uiPriority w:val="0"/>
    <w:pPr>
      <w:adjustRightInd/>
      <w:ind w:firstLine="200" w:firstLineChars="200"/>
    </w:pPr>
    <w:rPr>
      <w:rFonts w:ascii="Tahoma" w:hAnsi="Tahoma"/>
      <w:sz w:val="24"/>
      <w:szCs w:val="20"/>
    </w:rPr>
  </w:style>
  <w:style w:type="paragraph" w:customStyle="1" w:styleId="452">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autoRedefine/>
    <w:qFormat/>
    <w:uiPriority w:val="0"/>
    <w:pPr>
      <w:tabs>
        <w:tab w:val="left" w:pos="360"/>
      </w:tabs>
    </w:pPr>
    <w:rPr>
      <w:sz w:val="24"/>
      <w:szCs w:val="20"/>
    </w:rPr>
  </w:style>
  <w:style w:type="paragraph" w:customStyle="1" w:styleId="455">
    <w:name w:val="Char Char11 Char Char Char"/>
    <w:basedOn w:val="1"/>
    <w:autoRedefine/>
    <w:qFormat/>
    <w:uiPriority w:val="0"/>
    <w:pPr>
      <w:spacing w:line="360" w:lineRule="auto"/>
    </w:pPr>
    <w:rPr>
      <w:szCs w:val="20"/>
    </w:rPr>
  </w:style>
  <w:style w:type="paragraph" w:customStyle="1" w:styleId="456">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autoRedefine/>
    <w:qFormat/>
    <w:uiPriority w:val="0"/>
    <w:pPr>
      <w:tabs>
        <w:tab w:val="left" w:pos="2790"/>
        <w:tab w:val="left" w:pos="4230"/>
      </w:tabs>
      <w:spacing w:beforeLines="100"/>
      <w:jc w:val="left"/>
    </w:pPr>
  </w:style>
  <w:style w:type="paragraph" w:customStyle="1" w:styleId="459">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autoRedefine/>
    <w:qFormat/>
    <w:uiPriority w:val="0"/>
    <w:pPr>
      <w:tabs>
        <w:tab w:val="left" w:pos="840"/>
      </w:tabs>
      <w:ind w:left="840" w:hanging="420"/>
    </w:pPr>
    <w:rPr>
      <w:rFonts w:ascii="Tahoma" w:hAnsi="Tahoma"/>
      <w:sz w:val="24"/>
    </w:rPr>
  </w:style>
  <w:style w:type="paragraph" w:customStyle="1" w:styleId="461">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autoRedefine/>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autoRedefine/>
    <w:qFormat/>
    <w:uiPriority w:val="0"/>
    <w:pPr>
      <w:adjustRightInd/>
      <w:spacing w:before="156" w:line="360" w:lineRule="auto"/>
      <w:ind w:firstLine="510" w:firstLineChars="200"/>
    </w:pPr>
    <w:rPr>
      <w:sz w:val="24"/>
      <w:szCs w:val="20"/>
    </w:rPr>
  </w:style>
  <w:style w:type="paragraph" w:customStyle="1" w:styleId="465">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autoRedefine/>
    <w:qFormat/>
    <w:uiPriority w:val="0"/>
    <w:rPr>
      <w:rFonts w:ascii="仿宋_GB2312" w:eastAsia="仿宋_GB2312"/>
      <w:b/>
      <w:sz w:val="32"/>
      <w:szCs w:val="32"/>
    </w:rPr>
  </w:style>
  <w:style w:type="paragraph" w:customStyle="1" w:styleId="468">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0">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1">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autoRedefine/>
    <w:qFormat/>
    <w:uiPriority w:val="0"/>
    <w:pPr>
      <w:keepNext/>
      <w:tabs>
        <w:tab w:val="left" w:pos="360"/>
      </w:tabs>
      <w:outlineLvl w:val="5"/>
    </w:pPr>
  </w:style>
  <w:style w:type="paragraph" w:customStyle="1" w:styleId="473">
    <w:name w:val="5级标题"/>
    <w:basedOn w:val="474"/>
    <w:autoRedefine/>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4">
    <w:name w:val="4级标题"/>
    <w:basedOn w:val="257"/>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6">
    <w:name w:val="Char2 Char Char"/>
    <w:basedOn w:val="1"/>
    <w:autoRedefine/>
    <w:qFormat/>
    <w:uiPriority w:val="0"/>
    <w:pPr>
      <w:adjustRightInd/>
    </w:pPr>
    <w:rPr>
      <w:rFonts w:ascii="Tahoma" w:hAnsi="Tahoma"/>
      <w:sz w:val="24"/>
      <w:szCs w:val="20"/>
    </w:rPr>
  </w:style>
  <w:style w:type="paragraph" w:customStyle="1" w:styleId="477">
    <w:name w:val="_Style 11"/>
    <w:basedOn w:val="1"/>
    <w:autoRedefine/>
    <w:qFormat/>
    <w:uiPriority w:val="34"/>
    <w:pPr>
      <w:adjustRightInd/>
      <w:ind w:firstLine="420" w:firstLineChars="200"/>
    </w:pPr>
    <w:rPr>
      <w:rFonts w:eastAsia="仿宋_GB2312"/>
      <w:sz w:val="28"/>
    </w:rPr>
  </w:style>
  <w:style w:type="paragraph" w:customStyle="1" w:styleId="478">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autoRedefine/>
    <w:qFormat/>
    <w:uiPriority w:val="0"/>
    <w:rPr>
      <w:rFonts w:ascii="Tahoma" w:hAnsi="Tahoma"/>
      <w:sz w:val="24"/>
      <w:szCs w:val="20"/>
    </w:rPr>
  </w:style>
  <w:style w:type="paragraph" w:customStyle="1" w:styleId="480">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1">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autoRedefine/>
    <w:qFormat/>
    <w:uiPriority w:val="99"/>
    <w:rPr>
      <w:szCs w:val="22"/>
    </w:rPr>
  </w:style>
  <w:style w:type="paragraph" w:customStyle="1" w:styleId="483">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autoRedefine/>
    <w:qFormat/>
    <w:uiPriority w:val="6"/>
    <w:rPr>
      <w:rFonts w:ascii="Tahoma" w:hAnsi="Tahoma" w:cs="仿宋_GB2312"/>
      <w:sz w:val="24"/>
      <w:szCs w:val="20"/>
    </w:rPr>
  </w:style>
  <w:style w:type="paragraph" w:customStyle="1" w:styleId="485">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autoRedefine/>
    <w:qFormat/>
    <w:uiPriority w:val="0"/>
    <w:pPr>
      <w:tabs>
        <w:tab w:val="left" w:pos="1260"/>
      </w:tabs>
      <w:ind w:left="1260" w:hanging="420"/>
    </w:pPr>
    <w:rPr>
      <w:rFonts w:ascii="Arial" w:hAnsi="Arial" w:eastAsia="黑体"/>
      <w:lang w:val="en-US"/>
    </w:rPr>
  </w:style>
  <w:style w:type="paragraph" w:customStyle="1" w:styleId="489">
    <w:name w:val="五级无标题条"/>
    <w:basedOn w:val="1"/>
    <w:autoRedefine/>
    <w:qFormat/>
    <w:uiPriority w:val="0"/>
    <w:pPr>
      <w:adjustRightInd/>
    </w:pPr>
  </w:style>
  <w:style w:type="paragraph" w:customStyle="1" w:styleId="490">
    <w:name w:val="Char5"/>
    <w:basedOn w:val="1"/>
    <w:autoRedefine/>
    <w:qFormat/>
    <w:uiPriority w:val="0"/>
    <w:rPr>
      <w:rFonts w:ascii="仿宋_GB2312" w:eastAsia="仿宋_GB2312"/>
      <w:b/>
      <w:sz w:val="32"/>
      <w:szCs w:val="32"/>
    </w:rPr>
  </w:style>
  <w:style w:type="paragraph" w:customStyle="1" w:styleId="491">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autoRedefine/>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autoRedefine/>
    <w:qFormat/>
    <w:uiPriority w:val="0"/>
    <w:rPr>
      <w:rFonts w:ascii="仿宋_GB2312" w:eastAsia="仿宋_GB2312"/>
      <w:b/>
      <w:sz w:val="32"/>
      <w:szCs w:val="32"/>
    </w:rPr>
  </w:style>
  <w:style w:type="paragraph" w:customStyle="1" w:styleId="495">
    <w:name w:val="数字标题3"/>
    <w:basedOn w:val="4"/>
    <w:next w:val="1"/>
    <w:autoRedefine/>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7"/>
    <w:autoRedefine/>
    <w:qFormat/>
    <w:uiPriority w:val="0"/>
    <w:pPr>
      <w:tabs>
        <w:tab w:val="left" w:pos="2520"/>
      </w:tabs>
      <w:adjustRightInd/>
      <w:ind w:left="2520" w:hanging="420"/>
    </w:pPr>
  </w:style>
  <w:style w:type="paragraph" w:customStyle="1" w:styleId="498">
    <w:name w:val="Char Char Char Char Char Char Char Char Char Char1"/>
    <w:basedOn w:val="1"/>
    <w:autoRedefine/>
    <w:qFormat/>
    <w:uiPriority w:val="0"/>
    <w:rPr>
      <w:rFonts w:ascii="仿宋_GB2312" w:eastAsia="仿宋_GB2312"/>
      <w:b/>
      <w:sz w:val="32"/>
      <w:szCs w:val="32"/>
    </w:rPr>
  </w:style>
  <w:style w:type="paragraph" w:customStyle="1" w:styleId="499">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autoRedefine/>
    <w:qFormat/>
    <w:uiPriority w:val="0"/>
    <w:rPr>
      <w:rFonts w:ascii="仿宋_GB2312" w:eastAsia="仿宋_GB2312"/>
      <w:b/>
      <w:sz w:val="32"/>
      <w:szCs w:val="32"/>
    </w:rPr>
  </w:style>
  <w:style w:type="paragraph" w:customStyle="1" w:styleId="502">
    <w:name w:val="Char2 Char Char Char1"/>
    <w:basedOn w:val="1"/>
    <w:autoRedefine/>
    <w:qFormat/>
    <w:uiPriority w:val="6"/>
    <w:rPr>
      <w:rFonts w:ascii="仿宋_GB2312" w:eastAsia="仿宋_GB2312"/>
      <w:b/>
      <w:sz w:val="32"/>
      <w:szCs w:val="32"/>
    </w:rPr>
  </w:style>
  <w:style w:type="paragraph" w:customStyle="1" w:styleId="503">
    <w:name w:val="默认段落样式"/>
    <w:basedOn w:val="130"/>
    <w:autoRedefine/>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5">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4"/>
    <w:autoRedefine/>
    <w:qFormat/>
    <w:uiPriority w:val="0"/>
    <w:pPr>
      <w:tabs>
        <w:tab w:val="left" w:pos="1680"/>
      </w:tabs>
      <w:adjustRightInd/>
      <w:ind w:left="1680" w:hanging="420"/>
    </w:pPr>
  </w:style>
  <w:style w:type="paragraph" w:customStyle="1" w:styleId="507">
    <w:name w:val="标准小四"/>
    <w:basedOn w:val="1"/>
    <w:autoRedefine/>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autoRedefine/>
    <w:qFormat/>
    <w:uiPriority w:val="0"/>
    <w:pPr>
      <w:adjustRightInd/>
      <w:snapToGrid w:val="0"/>
      <w:spacing w:line="300" w:lineRule="auto"/>
    </w:pPr>
    <w:rPr>
      <w:rFonts w:eastAsia="仿宋"/>
      <w:szCs w:val="21"/>
    </w:rPr>
  </w:style>
  <w:style w:type="paragraph" w:customStyle="1" w:styleId="510">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autoRedefine/>
    <w:qFormat/>
    <w:uiPriority w:val="6"/>
    <w:pPr>
      <w:adjustRightInd/>
    </w:pPr>
    <w:rPr>
      <w:rFonts w:ascii="Tahoma" w:hAnsi="Tahoma"/>
      <w:sz w:val="24"/>
      <w:szCs w:val="20"/>
    </w:rPr>
  </w:style>
  <w:style w:type="paragraph" w:customStyle="1" w:styleId="512">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3">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5">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19">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autoRedefine/>
    <w:qFormat/>
    <w:uiPriority w:val="0"/>
    <w:pPr>
      <w:adjustRightInd/>
      <w:ind w:firstLine="420" w:firstLineChars="200"/>
    </w:pPr>
    <w:rPr>
      <w:rFonts w:eastAsia="仿宋_GB2312"/>
      <w:sz w:val="28"/>
    </w:rPr>
  </w:style>
  <w:style w:type="paragraph" w:customStyle="1" w:styleId="521">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24"/>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autoRedefine/>
    <w:qFormat/>
    <w:uiPriority w:val="0"/>
    <w:pPr>
      <w:adjustRightInd/>
      <w:ind w:firstLine="200" w:firstLineChars="200"/>
      <w:jc w:val="right"/>
    </w:pPr>
  </w:style>
  <w:style w:type="paragraph" w:customStyle="1" w:styleId="524">
    <w:name w:val="Char Char11 Char Char Char Char Char Char Char Char Char"/>
    <w:basedOn w:val="1"/>
    <w:autoRedefine/>
    <w:qFormat/>
    <w:uiPriority w:val="0"/>
    <w:pPr>
      <w:spacing w:line="360" w:lineRule="auto"/>
    </w:pPr>
    <w:rPr>
      <w:szCs w:val="20"/>
    </w:rPr>
  </w:style>
  <w:style w:type="paragraph" w:customStyle="1" w:styleId="525">
    <w:name w:val="正文1.25"/>
    <w:basedOn w:val="1"/>
    <w:autoRedefine/>
    <w:qFormat/>
    <w:uiPriority w:val="0"/>
    <w:pPr>
      <w:adjustRightInd/>
      <w:spacing w:line="300" w:lineRule="auto"/>
      <w:ind w:firstLine="480" w:firstLineChars="200"/>
    </w:pPr>
    <w:rPr>
      <w:sz w:val="24"/>
      <w:szCs w:val="20"/>
    </w:rPr>
  </w:style>
  <w:style w:type="paragraph" w:customStyle="1" w:styleId="526">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autoRedefine/>
    <w:qFormat/>
    <w:uiPriority w:val="6"/>
    <w:rPr>
      <w:rFonts w:ascii="仿宋_GB2312" w:eastAsia="仿宋_GB2312"/>
      <w:b/>
      <w:sz w:val="32"/>
      <w:szCs w:val="20"/>
    </w:rPr>
  </w:style>
  <w:style w:type="paragraph" w:customStyle="1" w:styleId="530">
    <w:name w:val="列出段落2"/>
    <w:basedOn w:val="1"/>
    <w:autoRedefine/>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autoRedefine/>
    <w:qFormat/>
    <w:uiPriority w:val="0"/>
    <w:rPr>
      <w:rFonts w:eastAsia="仿宋_GB2312"/>
      <w:sz w:val="28"/>
      <w:szCs w:val="20"/>
    </w:rPr>
  </w:style>
  <w:style w:type="paragraph" w:customStyle="1" w:styleId="532">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6"/>
    <w:autoRedefine/>
    <w:qFormat/>
    <w:uiPriority w:val="0"/>
    <w:pPr>
      <w:widowControl/>
      <w:jc w:val="left"/>
    </w:pPr>
    <w:rPr>
      <w:rFonts w:cs="宋体"/>
      <w:sz w:val="24"/>
      <w:szCs w:val="20"/>
    </w:rPr>
  </w:style>
  <w:style w:type="paragraph" w:customStyle="1" w:styleId="534">
    <w:name w:val="彩色列表 - 强调文字颜色 11"/>
    <w:basedOn w:val="1"/>
    <w:autoRedefine/>
    <w:qFormat/>
    <w:uiPriority w:val="0"/>
    <w:pPr>
      <w:adjustRightInd/>
      <w:ind w:firstLine="420" w:firstLineChars="200"/>
    </w:pPr>
    <w:rPr>
      <w:rFonts w:ascii="Calibri" w:hAnsi="Calibri"/>
      <w:szCs w:val="22"/>
    </w:rPr>
  </w:style>
  <w:style w:type="paragraph" w:customStyle="1" w:styleId="535">
    <w:name w:val="加粗正文"/>
    <w:basedOn w:val="1"/>
    <w:autoRedefine/>
    <w:qFormat/>
    <w:uiPriority w:val="0"/>
    <w:pPr>
      <w:adjustRightInd/>
      <w:spacing w:beforeLines="50" w:afterLines="50" w:line="360" w:lineRule="auto"/>
      <w:ind w:firstLine="422" w:firstLineChars="200"/>
    </w:pPr>
    <w:rPr>
      <w:b/>
      <w:bCs/>
      <w:szCs w:val="21"/>
    </w:rPr>
  </w:style>
  <w:style w:type="paragraph" w:customStyle="1" w:styleId="536">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autoRedefine/>
    <w:qFormat/>
    <w:uiPriority w:val="6"/>
    <w:rPr>
      <w:szCs w:val="20"/>
    </w:rPr>
  </w:style>
  <w:style w:type="paragraph" w:customStyle="1" w:styleId="539">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autoRedefine/>
    <w:qFormat/>
    <w:uiPriority w:val="0"/>
    <w:pPr>
      <w:spacing w:after="68"/>
    </w:pPr>
    <w:rPr>
      <w:rFonts w:ascii="FHLHE E+ Futura Bk" w:eastAsia="FHLHE E+ Futura Bk" w:cs="Times New Roman"/>
      <w:color w:val="auto"/>
    </w:rPr>
  </w:style>
  <w:style w:type="paragraph" w:customStyle="1" w:styleId="545">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autoRedefine/>
    <w:qFormat/>
    <w:uiPriority w:val="0"/>
    <w:rPr>
      <w:rFonts w:ascii="宋体" w:eastAsia="宋体" w:cs="Times New Roman"/>
      <w:color w:val="auto"/>
    </w:rPr>
  </w:style>
  <w:style w:type="paragraph" w:customStyle="1" w:styleId="549">
    <w:name w:val="正文首行缩进两字"/>
    <w:autoRedefine/>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autoRedefine/>
    <w:qFormat/>
    <w:uiPriority w:val="0"/>
    <w:rPr>
      <w:rFonts w:ascii="仿宋_GB2312" w:eastAsia="仿宋_GB2312"/>
      <w:b/>
      <w:sz w:val="32"/>
      <w:szCs w:val="32"/>
    </w:rPr>
  </w:style>
  <w:style w:type="paragraph" w:customStyle="1" w:styleId="551">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autoRedefine/>
    <w:qFormat/>
    <w:uiPriority w:val="0"/>
    <w:pPr>
      <w:spacing w:line="360" w:lineRule="auto"/>
    </w:pPr>
    <w:rPr>
      <w:szCs w:val="20"/>
    </w:rPr>
  </w:style>
  <w:style w:type="paragraph" w:customStyle="1" w:styleId="554">
    <w:name w:val="Char"/>
    <w:basedOn w:val="1"/>
    <w:autoRedefine/>
    <w:qFormat/>
    <w:uiPriority w:val="0"/>
    <w:rPr>
      <w:rFonts w:ascii="仿宋_GB2312" w:eastAsia="仿宋_GB2312"/>
      <w:b/>
      <w:sz w:val="32"/>
      <w:szCs w:val="32"/>
    </w:rPr>
  </w:style>
  <w:style w:type="paragraph" w:customStyle="1" w:styleId="555">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autoRedefine/>
    <w:qFormat/>
    <w:uiPriority w:val="0"/>
    <w:rPr>
      <w:szCs w:val="20"/>
    </w:rPr>
  </w:style>
  <w:style w:type="paragraph" w:customStyle="1" w:styleId="558">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59">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1">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autoRedefine/>
    <w:qFormat/>
    <w:uiPriority w:val="0"/>
    <w:pPr>
      <w:tabs>
        <w:tab w:val="left" w:pos="840"/>
      </w:tabs>
      <w:spacing w:beforeLines="50" w:line="360" w:lineRule="auto"/>
      <w:ind w:left="840" w:hanging="420"/>
      <w:textAlignment w:val="baseline"/>
    </w:pPr>
    <w:rPr>
      <w:szCs w:val="20"/>
    </w:rPr>
  </w:style>
  <w:style w:type="paragraph" w:customStyle="1" w:styleId="563">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autoRedefine/>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3">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4">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5"/>
    <w:autoRedefine/>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autoRedefine/>
    <w:qFormat/>
    <w:uiPriority w:val="0"/>
    <w:rPr>
      <w:szCs w:val="20"/>
    </w:rPr>
  </w:style>
  <w:style w:type="paragraph" w:customStyle="1" w:styleId="581">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autoRedefine/>
    <w:qFormat/>
    <w:uiPriority w:val="0"/>
    <w:rPr>
      <w:rFonts w:ascii="Tahoma" w:hAnsi="Tahoma"/>
      <w:sz w:val="24"/>
      <w:szCs w:val="20"/>
    </w:rPr>
  </w:style>
  <w:style w:type="paragraph" w:customStyle="1" w:styleId="583">
    <w:name w:val="标题五"/>
    <w:basedOn w:val="1"/>
    <w:autoRedefine/>
    <w:qFormat/>
    <w:uiPriority w:val="0"/>
    <w:pPr>
      <w:adjustRightInd/>
      <w:spacing w:beforeLines="50" w:line="360" w:lineRule="auto"/>
    </w:pPr>
    <w:rPr>
      <w:b/>
      <w:sz w:val="24"/>
    </w:rPr>
  </w:style>
  <w:style w:type="paragraph" w:customStyle="1" w:styleId="584">
    <w:name w:val="Char Char1101"/>
    <w:basedOn w:val="1"/>
    <w:autoRedefine/>
    <w:qFormat/>
    <w:uiPriority w:val="0"/>
    <w:pPr>
      <w:spacing w:line="360" w:lineRule="auto"/>
    </w:pPr>
    <w:rPr>
      <w:rFonts w:ascii="Tahoma" w:hAnsi="Tahoma"/>
      <w:sz w:val="24"/>
      <w:szCs w:val="20"/>
    </w:rPr>
  </w:style>
  <w:style w:type="paragraph" w:customStyle="1" w:styleId="585">
    <w:name w:val="Char Char Char Char Char Char Char Char1"/>
    <w:basedOn w:val="1"/>
    <w:autoRedefine/>
    <w:qFormat/>
    <w:uiPriority w:val="0"/>
    <w:pPr>
      <w:tabs>
        <w:tab w:val="left" w:pos="360"/>
      </w:tabs>
    </w:pPr>
    <w:rPr>
      <w:sz w:val="24"/>
      <w:szCs w:val="20"/>
    </w:rPr>
  </w:style>
  <w:style w:type="paragraph" w:customStyle="1" w:styleId="586">
    <w:name w:val="Char Char Char 字元 字元"/>
    <w:basedOn w:val="1"/>
    <w:autoRedefine/>
    <w:qFormat/>
    <w:uiPriority w:val="0"/>
    <w:pPr>
      <w:adjustRightInd/>
      <w:spacing w:line="360" w:lineRule="auto"/>
      <w:ind w:firstLine="200" w:firstLineChars="200"/>
    </w:pPr>
    <w:rPr>
      <w:szCs w:val="20"/>
    </w:rPr>
  </w:style>
  <w:style w:type="paragraph" w:customStyle="1" w:styleId="587">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autoRedefine/>
    <w:qFormat/>
    <w:uiPriority w:val="0"/>
    <w:rPr>
      <w:rFonts w:ascii="仿宋_GB2312" w:eastAsia="仿宋_GB2312"/>
      <w:b/>
      <w:sz w:val="32"/>
      <w:szCs w:val="32"/>
    </w:rPr>
  </w:style>
  <w:style w:type="paragraph" w:customStyle="1" w:styleId="589">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4"/>
    <w:autoRedefine/>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autoRedefine/>
    <w:qFormat/>
    <w:uiPriority w:val="0"/>
    <w:pPr>
      <w:adjustRightInd/>
    </w:pPr>
    <w:rPr>
      <w:sz w:val="18"/>
      <w:szCs w:val="20"/>
    </w:rPr>
  </w:style>
  <w:style w:type="paragraph" w:customStyle="1" w:styleId="594">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599">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5"/>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autoRedefine/>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8"/>
    <w:autoRedefine/>
    <w:qFormat/>
    <w:uiPriority w:val="0"/>
    <w:pPr>
      <w:snapToGrid w:val="0"/>
      <w:spacing w:line="360" w:lineRule="auto"/>
    </w:pPr>
    <w:rPr>
      <w:rFonts w:ascii="宋体"/>
      <w:b/>
      <w:sz w:val="24"/>
      <w:szCs w:val="20"/>
    </w:rPr>
  </w:style>
  <w:style w:type="paragraph" w:customStyle="1" w:styleId="604">
    <w:name w:val="规划正文"/>
    <w:basedOn w:val="1"/>
    <w:autoRedefine/>
    <w:qFormat/>
    <w:uiPriority w:val="0"/>
    <w:pPr>
      <w:adjustRightInd/>
      <w:spacing w:beforeLines="100" w:line="360" w:lineRule="auto"/>
      <w:jc w:val="left"/>
    </w:pPr>
    <w:rPr>
      <w:rFonts w:ascii="Arial" w:hAnsi="Arial" w:eastAsia="仿宋_GB2312"/>
      <w:bCs/>
      <w:sz w:val="28"/>
    </w:rPr>
  </w:style>
  <w:style w:type="paragraph" w:customStyle="1" w:styleId="605">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autoRedefine/>
    <w:qFormat/>
    <w:uiPriority w:val="7"/>
    <w:pPr>
      <w:adjustRightInd/>
    </w:pPr>
    <w:rPr>
      <w:rFonts w:ascii="宋体" w:hAnsi="Courier New"/>
    </w:rPr>
  </w:style>
  <w:style w:type="paragraph" w:customStyle="1" w:styleId="607">
    <w:name w:val="Char3"/>
    <w:basedOn w:val="1"/>
    <w:autoRedefine/>
    <w:qFormat/>
    <w:uiPriority w:val="0"/>
    <w:pPr>
      <w:adjustRightInd/>
    </w:pPr>
    <w:rPr>
      <w:rFonts w:ascii="仿宋_GB2312" w:eastAsia="仿宋_GB2312"/>
      <w:b/>
      <w:sz w:val="32"/>
      <w:szCs w:val="32"/>
    </w:rPr>
  </w:style>
  <w:style w:type="paragraph" w:customStyle="1" w:styleId="608">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autoRedefine/>
    <w:qFormat/>
    <w:uiPriority w:val="0"/>
    <w:pPr>
      <w:widowControl/>
      <w:adjustRightInd/>
      <w:spacing w:after="160" w:line="240" w:lineRule="exact"/>
      <w:jc w:val="left"/>
    </w:pPr>
    <w:rPr>
      <w:szCs w:val="20"/>
    </w:rPr>
  </w:style>
  <w:style w:type="paragraph" w:customStyle="1" w:styleId="616">
    <w:name w:val="表格标题2"/>
    <w:basedOn w:val="617"/>
    <w:autoRedefine/>
    <w:qFormat/>
    <w:uiPriority w:val="0"/>
    <w:rPr>
      <w:b/>
    </w:rPr>
  </w:style>
  <w:style w:type="paragraph" w:customStyle="1" w:styleId="617">
    <w:name w:val="表格内文"/>
    <w:basedOn w:val="1"/>
    <w:autoRedefine/>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autoRedefine/>
    <w:qFormat/>
    <w:uiPriority w:val="0"/>
    <w:rPr>
      <w:rFonts w:ascii="仿宋_GB2312" w:eastAsia="仿宋_GB2312"/>
      <w:b/>
      <w:sz w:val="32"/>
      <w:szCs w:val="32"/>
    </w:rPr>
  </w:style>
  <w:style w:type="paragraph" w:customStyle="1" w:styleId="619">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autoRedefine/>
    <w:qFormat/>
    <w:uiPriority w:val="0"/>
    <w:pPr>
      <w:spacing w:line="360" w:lineRule="auto"/>
    </w:pPr>
    <w:rPr>
      <w:szCs w:val="20"/>
    </w:rPr>
  </w:style>
  <w:style w:type="paragraph" w:customStyle="1" w:styleId="622">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2"/>
    <w:autoRedefine/>
    <w:qFormat/>
    <w:uiPriority w:val="0"/>
    <w:pPr>
      <w:tabs>
        <w:tab w:val="left" w:pos="840"/>
      </w:tabs>
      <w:adjustRightInd/>
      <w:ind w:left="840" w:hanging="420"/>
    </w:pPr>
  </w:style>
  <w:style w:type="paragraph" w:customStyle="1" w:styleId="625">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autoRedefine/>
    <w:qFormat/>
    <w:uiPriority w:val="0"/>
    <w:pPr>
      <w:spacing w:line="360" w:lineRule="auto"/>
      <w:ind w:firstLine="200" w:firstLineChars="200"/>
    </w:pPr>
    <w:rPr>
      <w:kern w:val="0"/>
      <w:sz w:val="24"/>
      <w:szCs w:val="20"/>
    </w:rPr>
  </w:style>
  <w:style w:type="paragraph" w:customStyle="1" w:styleId="627">
    <w:name w:val="表格"/>
    <w:basedOn w:val="1"/>
    <w:autoRedefine/>
    <w:qFormat/>
    <w:uiPriority w:val="0"/>
    <w:pPr>
      <w:snapToGrid w:val="0"/>
      <w:ind w:firstLine="42" w:firstLineChars="21"/>
    </w:pPr>
    <w:rPr>
      <w:rFonts w:ascii="宋体" w:hAnsi="宋体"/>
      <w:kern w:val="0"/>
      <w:sz w:val="20"/>
      <w:szCs w:val="20"/>
    </w:rPr>
  </w:style>
  <w:style w:type="paragraph" w:customStyle="1" w:styleId="628">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autoRedefine/>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30"/>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autoRedefine/>
    <w:qFormat/>
    <w:uiPriority w:val="0"/>
    <w:pPr>
      <w:adjustRightInd/>
      <w:spacing w:line="300" w:lineRule="auto"/>
      <w:jc w:val="center"/>
    </w:pPr>
  </w:style>
  <w:style w:type="paragraph" w:customStyle="1" w:styleId="633">
    <w:name w:val="_Style 6"/>
    <w:basedOn w:val="1"/>
    <w:autoRedefine/>
    <w:qFormat/>
    <w:uiPriority w:val="34"/>
    <w:pPr>
      <w:adjustRightInd/>
      <w:ind w:firstLine="420" w:firstLineChars="200"/>
    </w:pPr>
    <w:rPr>
      <w:rFonts w:eastAsia="仿宋_GB2312"/>
      <w:sz w:val="28"/>
    </w:rPr>
  </w:style>
  <w:style w:type="paragraph" w:customStyle="1" w:styleId="634">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autoRedefine/>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1">
    <w:name w:val="trademark"/>
    <w:autoRedefine/>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autoRedefine/>
    <w:qFormat/>
    <w:uiPriority w:val="0"/>
    <w:rPr>
      <w:rFonts w:ascii="仿宋_GB2312" w:eastAsia="仿宋_GB2312"/>
      <w:b/>
      <w:sz w:val="32"/>
      <w:szCs w:val="20"/>
    </w:rPr>
  </w:style>
  <w:style w:type="paragraph" w:customStyle="1" w:styleId="644">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autoRedefine/>
    <w:qFormat/>
    <w:uiPriority w:val="0"/>
    <w:pPr>
      <w:adjustRightInd/>
      <w:ind w:firstLine="200" w:firstLineChars="200"/>
    </w:pPr>
    <w:rPr>
      <w:rFonts w:ascii="Tahoma" w:hAnsi="Tahoma"/>
      <w:sz w:val="24"/>
      <w:szCs w:val="20"/>
    </w:rPr>
  </w:style>
  <w:style w:type="paragraph" w:customStyle="1" w:styleId="646">
    <w:name w:val="a1"/>
    <w:basedOn w:val="1"/>
    <w:autoRedefine/>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autoRedefine/>
    <w:qFormat/>
    <w:uiPriority w:val="0"/>
    <w:pPr>
      <w:spacing w:afterLines="50"/>
      <w:jc w:val="left"/>
      <w:outlineLvl w:val="3"/>
    </w:pPr>
    <w:rPr>
      <w:sz w:val="24"/>
      <w:szCs w:val="24"/>
    </w:rPr>
  </w:style>
  <w:style w:type="paragraph" w:customStyle="1" w:styleId="648">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autoRedefine/>
    <w:qFormat/>
    <w:uiPriority w:val="0"/>
    <w:pPr>
      <w:adjustRightInd/>
    </w:pPr>
    <w:rPr>
      <w:rFonts w:ascii="Tahoma" w:hAnsi="Tahoma"/>
      <w:sz w:val="24"/>
      <w:szCs w:val="20"/>
    </w:rPr>
  </w:style>
  <w:style w:type="paragraph" w:customStyle="1" w:styleId="653">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autoRedefine/>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autoRedefine/>
    <w:qFormat/>
    <w:uiPriority w:val="0"/>
    <w:pPr>
      <w:tabs>
        <w:tab w:val="left" w:pos="1260"/>
        <w:tab w:val="left" w:pos="1680"/>
        <w:tab w:val="left" w:pos="2100"/>
      </w:tabs>
      <w:ind w:left="0"/>
      <w:outlineLvl w:val="3"/>
    </w:pPr>
  </w:style>
  <w:style w:type="paragraph" w:customStyle="1" w:styleId="656">
    <w:name w:val="一级条标题"/>
    <w:basedOn w:val="657"/>
    <w:next w:val="639"/>
    <w:autoRedefine/>
    <w:qFormat/>
    <w:uiPriority w:val="0"/>
    <w:pPr>
      <w:tabs>
        <w:tab w:val="left" w:pos="1260"/>
        <w:tab w:val="left" w:pos="1680"/>
      </w:tabs>
      <w:spacing w:beforeLines="0" w:afterLines="0"/>
      <w:ind w:left="1680"/>
      <w:outlineLvl w:val="2"/>
    </w:pPr>
  </w:style>
  <w:style w:type="paragraph" w:customStyle="1" w:styleId="657">
    <w:name w:val="章标题"/>
    <w:next w:val="639"/>
    <w:autoRedefine/>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autoRedefine/>
    <w:qFormat/>
    <w:uiPriority w:val="0"/>
    <w:pPr>
      <w:keepNext w:val="0"/>
      <w:keepLines w:val="0"/>
      <w:widowControl/>
      <w:overflowPunct w:val="0"/>
      <w:autoSpaceDE w:val="0"/>
      <w:autoSpaceDN w:val="0"/>
      <w:spacing w:before="0" w:line="360" w:lineRule="auto"/>
      <w:ind w:left="0" w:firstLine="0"/>
      <w:jc w:val="left"/>
      <w:textAlignment w:val="baseline"/>
    </w:pPr>
    <w:rPr>
      <w:rFonts w:ascii="宋体" w:hAnsi="宋体"/>
      <w:kern w:val="2"/>
      <w:sz w:val="24"/>
      <w:szCs w:val="20"/>
    </w:rPr>
  </w:style>
  <w:style w:type="paragraph" w:customStyle="1" w:styleId="661">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autoRedefine/>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autoRedefine/>
    <w:qFormat/>
    <w:uiPriority w:val="6"/>
    <w:pPr>
      <w:widowControl/>
      <w:adjustRightInd/>
      <w:ind w:left="720" w:hanging="720"/>
    </w:pPr>
    <w:rPr>
      <w:color w:val="000000"/>
      <w:kern w:val="0"/>
      <w:sz w:val="24"/>
      <w:szCs w:val="20"/>
      <w:lang w:val="en-GB"/>
    </w:rPr>
  </w:style>
  <w:style w:type="paragraph" w:customStyle="1" w:styleId="667">
    <w:name w:val="表1"/>
    <w:basedOn w:val="1"/>
    <w:autoRedefine/>
    <w:qFormat/>
    <w:uiPriority w:val="0"/>
    <w:pPr>
      <w:tabs>
        <w:tab w:val="left" w:pos="703"/>
      </w:tabs>
      <w:adjustRightInd/>
      <w:spacing w:line="360" w:lineRule="auto"/>
      <w:ind w:left="703"/>
      <w:jc w:val="center"/>
    </w:pPr>
  </w:style>
  <w:style w:type="paragraph" w:customStyle="1" w:styleId="668">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autoRedefine/>
    <w:qFormat/>
    <w:uiPriority w:val="0"/>
    <w:pPr>
      <w:adjustRightInd/>
      <w:spacing w:beforeLines="50" w:after="120" w:line="300" w:lineRule="auto"/>
      <w:ind w:firstLine="480" w:firstLineChars="200"/>
    </w:pPr>
    <w:rPr>
      <w:rFonts w:ascii="Helvetica" w:hAnsi="Helvetica"/>
      <w:kern w:val="0"/>
      <w:sz w:val="24"/>
    </w:rPr>
  </w:style>
  <w:style w:type="paragraph" w:customStyle="1" w:styleId="671">
    <w:name w:val="2级标题"/>
    <w:basedOn w:val="672"/>
    <w:autoRedefine/>
    <w:qFormat/>
    <w:uiPriority w:val="0"/>
    <w:pPr>
      <w:jc w:val="left"/>
      <w:outlineLvl w:val="1"/>
    </w:pPr>
    <w:rPr>
      <w:rFonts w:ascii="Times New Roman" w:hAnsi="Times New Roman" w:eastAsia="仿宋"/>
      <w:sz w:val="30"/>
    </w:rPr>
  </w:style>
  <w:style w:type="paragraph" w:customStyle="1" w:styleId="672">
    <w:name w:val="1级标题"/>
    <w:basedOn w:val="1"/>
    <w:autoRedefine/>
    <w:qFormat/>
    <w:uiPriority w:val="0"/>
    <w:pPr>
      <w:adjustRightInd/>
      <w:spacing w:beforeLines="10" w:afterLines="10" w:line="360" w:lineRule="auto"/>
      <w:jc w:val="center"/>
      <w:outlineLvl w:val="0"/>
    </w:pPr>
    <w:rPr>
      <w:rFonts w:ascii="Calibri" w:hAnsi="Calibri"/>
      <w:b/>
      <w:sz w:val="44"/>
      <w:szCs w:val="22"/>
    </w:rPr>
  </w:style>
  <w:style w:type="paragraph" w:customStyle="1" w:styleId="673">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autoRedefine/>
    <w:qFormat/>
    <w:uiPriority w:val="0"/>
    <w:pPr>
      <w:tabs>
        <w:tab w:val="left" w:pos="840"/>
      </w:tabs>
      <w:adjustRightInd/>
      <w:ind w:left="840" w:hanging="420"/>
    </w:pPr>
  </w:style>
  <w:style w:type="paragraph" w:customStyle="1" w:styleId="678">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autoRedefine/>
    <w:qFormat/>
    <w:uiPriority w:val="0"/>
    <w:pPr>
      <w:tabs>
        <w:tab w:val="left" w:pos="2100"/>
      </w:tabs>
      <w:adjustRightInd/>
      <w:ind w:left="2100" w:hanging="420"/>
    </w:pPr>
    <w:rPr>
      <w:lang w:val="en-US"/>
    </w:rPr>
  </w:style>
  <w:style w:type="paragraph" w:customStyle="1" w:styleId="686">
    <w:name w:val="Char11"/>
    <w:basedOn w:val="1"/>
    <w:autoRedefine/>
    <w:qFormat/>
    <w:uiPriority w:val="0"/>
    <w:pPr>
      <w:tabs>
        <w:tab w:val="left" w:pos="432"/>
      </w:tabs>
      <w:adjustRightInd/>
      <w:spacing w:beforeLines="50" w:afterLines="50"/>
      <w:ind w:left="432" w:hanging="432" w:firstLineChars="200"/>
    </w:pPr>
    <w:rPr>
      <w:sz w:val="24"/>
    </w:rPr>
  </w:style>
  <w:style w:type="paragraph" w:customStyle="1" w:styleId="687">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autoRedefine/>
    <w:qFormat/>
    <w:uiPriority w:val="6"/>
    <w:pPr>
      <w:spacing w:line="360" w:lineRule="auto"/>
    </w:pPr>
    <w:rPr>
      <w:szCs w:val="20"/>
    </w:rPr>
  </w:style>
  <w:style w:type="paragraph" w:customStyle="1" w:styleId="689">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5">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autoRedefine/>
    <w:qFormat/>
    <w:uiPriority w:val="0"/>
    <w:pPr>
      <w:adjustRightInd/>
      <w:spacing w:line="360" w:lineRule="auto"/>
      <w:jc w:val="center"/>
    </w:pPr>
    <w:rPr>
      <w:sz w:val="24"/>
    </w:rPr>
  </w:style>
  <w:style w:type="paragraph" w:customStyle="1" w:styleId="699">
    <w:name w:val="正文3"/>
    <w:basedOn w:val="1"/>
    <w:autoRedefine/>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autoRedefine/>
    <w:qFormat/>
    <w:uiPriority w:val="6"/>
    <w:rPr>
      <w:rFonts w:ascii="仿宋_GB2312" w:eastAsia="仿宋_GB2312"/>
      <w:b/>
      <w:sz w:val="32"/>
      <w:szCs w:val="32"/>
    </w:rPr>
  </w:style>
  <w:style w:type="paragraph" w:customStyle="1" w:styleId="701">
    <w:name w:val="正文缩进1"/>
    <w:basedOn w:val="1"/>
    <w:next w:val="25"/>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autoRedefine/>
    <w:qFormat/>
    <w:uiPriority w:val="0"/>
    <w:pPr>
      <w:widowControl/>
      <w:adjustRightInd/>
      <w:spacing w:after="160" w:line="240" w:lineRule="exact"/>
      <w:jc w:val="left"/>
    </w:pPr>
    <w:rPr>
      <w:szCs w:val="20"/>
    </w:rPr>
  </w:style>
  <w:style w:type="paragraph" w:customStyle="1" w:styleId="704">
    <w:name w:val="Char Char1121"/>
    <w:basedOn w:val="1"/>
    <w:autoRedefine/>
    <w:qFormat/>
    <w:uiPriority w:val="0"/>
    <w:pPr>
      <w:spacing w:line="360" w:lineRule="auto"/>
    </w:pPr>
    <w:rPr>
      <w:szCs w:val="20"/>
    </w:rPr>
  </w:style>
  <w:style w:type="paragraph" w:customStyle="1" w:styleId="705">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autoRedefine/>
    <w:qFormat/>
    <w:uiPriority w:val="0"/>
    <w:rPr>
      <w:rFonts w:ascii="Times New Roman" w:hAnsi="Times New Roman" w:eastAsia="宋体" w:cs="Times New Roman"/>
      <w:lang w:val="en-US" w:eastAsia="en-US" w:bidi="ar-SA"/>
    </w:rPr>
  </w:style>
  <w:style w:type="paragraph" w:customStyle="1" w:styleId="708">
    <w:name w:val="带编号样式"/>
    <w:basedOn w:val="626"/>
    <w:autoRedefine/>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2">
    <w:name w:val="__正文"/>
    <w:autoRedefine/>
    <w:qFormat/>
    <w:uiPriority w:val="0"/>
    <w:pPr>
      <w:spacing w:line="360" w:lineRule="auto"/>
      <w:ind w:firstLine="200" w:firstLineChars="200"/>
    </w:pPr>
    <w:rPr>
      <w:rFonts w:ascii="Times New Roman" w:hAnsi="Times New Roman" w:eastAsia="DengXian" w:cs="Times New Roman"/>
      <w:kern w:val="2"/>
      <w:sz w:val="24"/>
      <w:szCs w:val="21"/>
      <w:lang w:val="en-US" w:eastAsia="zh-CN" w:bidi="ar-SA"/>
    </w:rPr>
  </w:style>
  <w:style w:type="paragraph" w:customStyle="1" w:styleId="713">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autoRedefine/>
    <w:qFormat/>
    <w:uiPriority w:val="0"/>
    <w:pPr>
      <w:spacing w:line="240" w:lineRule="atLeast"/>
      <w:ind w:left="420" w:firstLine="420"/>
    </w:pPr>
    <w:rPr>
      <w:sz w:val="24"/>
    </w:rPr>
  </w:style>
  <w:style w:type="paragraph" w:customStyle="1" w:styleId="715">
    <w:name w:val="WW-正文文字缩进 2"/>
    <w:basedOn w:val="1"/>
    <w:autoRedefine/>
    <w:qFormat/>
    <w:uiPriority w:val="0"/>
    <w:pPr>
      <w:suppressAutoHyphens/>
      <w:adjustRightInd/>
      <w:ind w:firstLine="420"/>
    </w:pPr>
    <w:rPr>
      <w:kern w:val="1"/>
      <w:szCs w:val="20"/>
    </w:rPr>
  </w:style>
  <w:style w:type="paragraph" w:customStyle="1" w:styleId="716">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autoRedefine/>
    <w:qFormat/>
    <w:uiPriority w:val="0"/>
    <w:pPr>
      <w:adjustRightInd/>
      <w:spacing w:line="400" w:lineRule="exact"/>
      <w:ind w:firstLine="200" w:firstLineChars="200"/>
    </w:pPr>
    <w:rPr>
      <w:rFonts w:ascii="Arial" w:hAnsi="Arial"/>
    </w:rPr>
  </w:style>
  <w:style w:type="paragraph" w:customStyle="1" w:styleId="719">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8"/>
    <w:autoRedefine/>
    <w:qFormat/>
    <w:uiPriority w:val="0"/>
    <w:pPr>
      <w:spacing w:after="120" w:line="480" w:lineRule="auto"/>
      <w:ind w:left="420" w:leftChars="200"/>
    </w:pPr>
    <w:rPr>
      <w:sz w:val="24"/>
      <w:szCs w:val="20"/>
    </w:rPr>
  </w:style>
  <w:style w:type="paragraph" w:customStyle="1" w:styleId="722">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6">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autoRedefine/>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29">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autoRedefine/>
    <w:qFormat/>
    <w:uiPriority w:val="0"/>
    <w:rPr>
      <w:rFonts w:ascii="仿宋_GB2312" w:eastAsia="仿宋_GB2312"/>
      <w:b/>
      <w:sz w:val="32"/>
      <w:szCs w:val="20"/>
    </w:rPr>
  </w:style>
  <w:style w:type="paragraph" w:customStyle="1" w:styleId="731">
    <w:name w:val="表格题注"/>
    <w:next w:val="1"/>
    <w:autoRedefine/>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autoRedefine/>
    <w:qFormat/>
    <w:uiPriority w:val="0"/>
    <w:rPr>
      <w:rFonts w:ascii="仿宋_GB2312" w:eastAsia="仿宋_GB2312"/>
      <w:b/>
      <w:sz w:val="32"/>
      <w:szCs w:val="32"/>
    </w:rPr>
  </w:style>
  <w:style w:type="paragraph" w:customStyle="1" w:styleId="735">
    <w:name w:val="Char3 Char Char Char1"/>
    <w:basedOn w:val="1"/>
    <w:autoRedefine/>
    <w:qFormat/>
    <w:uiPriority w:val="6"/>
    <w:pPr>
      <w:widowControl/>
      <w:adjustRightInd/>
      <w:spacing w:after="160" w:line="240" w:lineRule="exact"/>
      <w:jc w:val="left"/>
    </w:pPr>
    <w:rPr>
      <w:szCs w:val="20"/>
    </w:rPr>
  </w:style>
  <w:style w:type="paragraph" w:customStyle="1" w:styleId="736">
    <w:name w:val="Char1 Char Char Char21"/>
    <w:basedOn w:val="1"/>
    <w:autoRedefine/>
    <w:qFormat/>
    <w:uiPriority w:val="0"/>
    <w:rPr>
      <w:rFonts w:ascii="Tahoma" w:hAnsi="Tahoma"/>
      <w:sz w:val="24"/>
      <w:szCs w:val="20"/>
    </w:rPr>
  </w:style>
  <w:style w:type="paragraph" w:customStyle="1" w:styleId="737">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autoRedefine/>
    <w:qFormat/>
    <w:uiPriority w:val="0"/>
    <w:pPr>
      <w:spacing w:line="360" w:lineRule="auto"/>
      <w:ind w:firstLine="200" w:firstLineChars="200"/>
    </w:pPr>
    <w:rPr>
      <w:sz w:val="24"/>
    </w:rPr>
  </w:style>
  <w:style w:type="paragraph" w:customStyle="1" w:styleId="739">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autoRedefine/>
    <w:qFormat/>
    <w:uiPriority w:val="0"/>
    <w:pPr>
      <w:adjustRightInd/>
      <w:ind w:firstLine="200" w:firstLineChars="200"/>
    </w:pPr>
    <w:rPr>
      <w:rFonts w:ascii="Tahoma" w:hAnsi="Tahoma"/>
      <w:sz w:val="24"/>
      <w:szCs w:val="20"/>
    </w:rPr>
  </w:style>
  <w:style w:type="paragraph" w:customStyle="1" w:styleId="745">
    <w:name w:val="_标题2"/>
    <w:basedOn w:val="712"/>
    <w:next w:val="712"/>
    <w:autoRedefine/>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6">
    <w:name w:val="样式1 + (中宋体"/>
    <w:basedOn w:val="723"/>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autoRedefine/>
    <w:qFormat/>
    <w:uiPriority w:val="0"/>
    <w:pPr>
      <w:adjustRightInd/>
      <w:spacing w:line="360" w:lineRule="auto"/>
    </w:pPr>
    <w:rPr>
      <w:rFonts w:ascii="宋体" w:hAnsi="宋体"/>
      <w:szCs w:val="20"/>
    </w:rPr>
  </w:style>
  <w:style w:type="paragraph" w:customStyle="1" w:styleId="751">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autoRedefine/>
    <w:qFormat/>
    <w:uiPriority w:val="0"/>
    <w:pPr>
      <w:adjustRightInd/>
    </w:pPr>
    <w:rPr>
      <w:rFonts w:ascii="Tahoma" w:hAnsi="Tahoma"/>
      <w:sz w:val="24"/>
    </w:rPr>
  </w:style>
  <w:style w:type="paragraph" w:customStyle="1" w:styleId="753">
    <w:name w:val="Char Char Char Char11"/>
    <w:basedOn w:val="1"/>
    <w:autoRedefine/>
    <w:qFormat/>
    <w:uiPriority w:val="0"/>
    <w:rPr>
      <w:rFonts w:ascii="Tahoma" w:hAnsi="Tahoma"/>
      <w:sz w:val="24"/>
      <w:szCs w:val="20"/>
    </w:rPr>
  </w:style>
  <w:style w:type="paragraph" w:customStyle="1" w:styleId="754">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autoRedefine/>
    <w:qFormat/>
    <w:uiPriority w:val="0"/>
    <w:rPr>
      <w:rFonts w:ascii="Tahoma" w:hAnsi="Tahoma"/>
      <w:sz w:val="24"/>
      <w:szCs w:val="20"/>
    </w:rPr>
  </w:style>
  <w:style w:type="paragraph" w:customStyle="1" w:styleId="756">
    <w:name w:val="标1"/>
    <w:basedOn w:val="1"/>
    <w:autoRedefine/>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autoRedefine/>
    <w:qFormat/>
    <w:uiPriority w:val="0"/>
    <w:pPr>
      <w:adjustRightInd/>
    </w:pPr>
    <w:rPr>
      <w:szCs w:val="20"/>
    </w:rPr>
  </w:style>
  <w:style w:type="paragraph" w:customStyle="1" w:styleId="758">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autoRedefine/>
    <w:qFormat/>
    <w:uiPriority w:val="0"/>
    <w:pPr>
      <w:spacing w:beforeLines="50" w:afterLines="50"/>
      <w:ind w:firstLine="200" w:firstLineChars="200"/>
      <w:outlineLvl w:val="4"/>
    </w:pPr>
    <w:rPr>
      <w:rFonts w:ascii="仿宋_GB2312" w:hAnsi="宋体" w:eastAsia="仿宋_GB2312"/>
      <w:b/>
      <w:bCs/>
      <w:sz w:val="24"/>
    </w:rPr>
  </w:style>
  <w:style w:type="paragraph" w:customStyle="1" w:styleId="760">
    <w:name w:val="_Style 5"/>
    <w:basedOn w:val="1"/>
    <w:autoRedefine/>
    <w:qFormat/>
    <w:uiPriority w:val="34"/>
    <w:pPr>
      <w:adjustRightInd/>
      <w:ind w:firstLine="420" w:firstLineChars="200"/>
    </w:pPr>
    <w:rPr>
      <w:rFonts w:eastAsia="仿宋_GB2312"/>
      <w:sz w:val="28"/>
    </w:rPr>
  </w:style>
  <w:style w:type="paragraph" w:customStyle="1" w:styleId="761">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autoRedefine/>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autoRedefine/>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69">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autoRedefine/>
    <w:qFormat/>
    <w:uiPriority w:val="0"/>
    <w:rPr>
      <w:rFonts w:ascii="宋体" w:hAnsi="Times New Roman" w:eastAsia="宋体" w:cs="Times New Roman"/>
      <w:kern w:val="2"/>
      <w:lang w:val="en-US" w:eastAsia="zh-CN" w:bidi="ar-SA"/>
    </w:rPr>
  </w:style>
  <w:style w:type="paragraph" w:customStyle="1" w:styleId="771">
    <w:name w:val="MM Title"/>
    <w:basedOn w:val="61"/>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autoRedefine/>
    <w:qFormat/>
    <w:uiPriority w:val="0"/>
    <w:pPr>
      <w:tabs>
        <w:tab w:val="left" w:pos="360"/>
      </w:tabs>
    </w:pPr>
    <w:rPr>
      <w:sz w:val="24"/>
      <w:szCs w:val="20"/>
    </w:rPr>
  </w:style>
  <w:style w:type="paragraph" w:customStyle="1" w:styleId="775">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5"/>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5"/>
    <w:autoRedefine/>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autoRedefine/>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3">
    <w:name w:val="p0"/>
    <w:basedOn w:val="1"/>
    <w:autoRedefine/>
    <w:qFormat/>
    <w:uiPriority w:val="0"/>
    <w:pPr>
      <w:widowControl/>
      <w:adjustRightInd/>
    </w:pPr>
    <w:rPr>
      <w:kern w:val="0"/>
      <w:szCs w:val="21"/>
    </w:rPr>
  </w:style>
  <w:style w:type="paragraph" w:customStyle="1" w:styleId="784">
    <w:name w:val="Char6"/>
    <w:basedOn w:val="1"/>
    <w:autoRedefine/>
    <w:qFormat/>
    <w:uiPriority w:val="0"/>
    <w:rPr>
      <w:rFonts w:ascii="仿宋_GB2312" w:eastAsia="仿宋_GB2312"/>
      <w:b/>
      <w:sz w:val="32"/>
      <w:szCs w:val="32"/>
    </w:rPr>
  </w:style>
  <w:style w:type="paragraph" w:customStyle="1" w:styleId="785">
    <w:name w:val="Char111"/>
    <w:basedOn w:val="1"/>
    <w:autoRedefine/>
    <w:qFormat/>
    <w:uiPriority w:val="0"/>
    <w:rPr>
      <w:rFonts w:ascii="仿宋_GB2312" w:eastAsia="仿宋_GB2312"/>
      <w:b/>
      <w:sz w:val="32"/>
      <w:szCs w:val="32"/>
    </w:rPr>
  </w:style>
  <w:style w:type="paragraph" w:customStyle="1" w:styleId="786">
    <w:name w:val="标题3"/>
    <w:basedOn w:val="4"/>
    <w:next w:val="55"/>
    <w:autoRedefine/>
    <w:qFormat/>
    <w:uiPriority w:val="0"/>
    <w:pPr>
      <w:tabs>
        <w:tab w:val="clear" w:pos="900"/>
      </w:tabs>
      <w:spacing w:after="0" w:line="360" w:lineRule="auto"/>
    </w:pPr>
    <w:rPr>
      <w:rFonts w:ascii="仿宋" w:hAnsi="仿宋" w:eastAsia="仿宋" w:cs="仿宋"/>
    </w:rPr>
  </w:style>
  <w:style w:type="paragraph" w:customStyle="1" w:styleId="787">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autoRedefine/>
    <w:qFormat/>
    <w:uiPriority w:val="0"/>
    <w:pPr>
      <w:adjustRightInd/>
      <w:ind w:firstLine="200" w:firstLineChars="200"/>
    </w:pPr>
    <w:rPr>
      <w:rFonts w:ascii="Tahoma" w:hAnsi="Tahoma"/>
      <w:sz w:val="24"/>
      <w:szCs w:val="20"/>
    </w:rPr>
  </w:style>
  <w:style w:type="paragraph" w:customStyle="1" w:styleId="790">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jc w:val="center"/>
    </w:pPr>
    <w:rPr>
      <w:rFonts w:ascii="黑体" w:hAnsi="黑体" w:eastAsia="黑体" w:cs="Arial"/>
      <w:caps/>
      <w:color w:val="FFFFFF"/>
      <w:kern w:val="2"/>
      <w:sz w:val="30"/>
      <w:szCs w:val="20"/>
    </w:rPr>
  </w:style>
  <w:style w:type="paragraph" w:customStyle="1" w:styleId="792">
    <w:name w:val="Char Char Char Char Char Char Char2"/>
    <w:basedOn w:val="1"/>
    <w:autoRedefine/>
    <w:qFormat/>
    <w:uiPriority w:val="0"/>
    <w:rPr>
      <w:rFonts w:ascii="仿宋_GB2312" w:eastAsia="仿宋_GB2312"/>
      <w:b/>
      <w:sz w:val="32"/>
      <w:szCs w:val="32"/>
    </w:rPr>
  </w:style>
  <w:style w:type="paragraph" w:customStyle="1" w:styleId="793">
    <w:name w:val="五级条标题"/>
    <w:basedOn w:val="794"/>
    <w:next w:val="639"/>
    <w:autoRedefine/>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autoRedefine/>
    <w:qFormat/>
    <w:uiPriority w:val="0"/>
    <w:pPr>
      <w:tabs>
        <w:tab w:val="left" w:pos="2940"/>
        <w:tab w:val="clear" w:pos="2520"/>
      </w:tabs>
      <w:ind w:left="2940"/>
      <w:outlineLvl w:val="5"/>
    </w:pPr>
  </w:style>
  <w:style w:type="paragraph" w:customStyle="1" w:styleId="795">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autoRedefine/>
    <w:qFormat/>
    <w:uiPriority w:val="0"/>
    <w:rPr>
      <w:rFonts w:ascii="仿宋_GB2312" w:eastAsia="仿宋_GB2312"/>
      <w:b/>
      <w:sz w:val="32"/>
      <w:szCs w:val="32"/>
    </w:rPr>
  </w:style>
  <w:style w:type="paragraph" w:customStyle="1" w:styleId="797">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autoRedefine/>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1">
    <w:name w:val="单元格左对齐"/>
    <w:basedOn w:val="1"/>
    <w:autoRedefine/>
    <w:qFormat/>
    <w:uiPriority w:val="0"/>
    <w:pPr>
      <w:adjustRightInd/>
      <w:spacing w:line="360" w:lineRule="auto"/>
    </w:pPr>
    <w:rPr>
      <w:sz w:val="24"/>
    </w:rPr>
  </w:style>
  <w:style w:type="paragraph" w:customStyle="1" w:styleId="802">
    <w:name w:val="正文主体"/>
    <w:basedOn w:val="623"/>
    <w:autoRedefine/>
    <w:qFormat/>
    <w:uiPriority w:val="0"/>
  </w:style>
  <w:style w:type="paragraph" w:customStyle="1" w:styleId="803">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autoRedefine/>
    <w:qFormat/>
    <w:uiPriority w:val="0"/>
    <w:pPr>
      <w:adjustRightInd/>
      <w:spacing w:line="360" w:lineRule="auto"/>
      <w:ind w:firstLine="480" w:firstLineChars="200"/>
    </w:pPr>
    <w:rPr>
      <w:sz w:val="24"/>
      <w:szCs w:val="20"/>
    </w:rPr>
  </w:style>
  <w:style w:type="paragraph" w:customStyle="1" w:styleId="807">
    <w:name w:val="P1"/>
    <w:basedOn w:val="1"/>
    <w:autoRedefine/>
    <w:qFormat/>
    <w:uiPriority w:val="0"/>
    <w:pPr>
      <w:adjustRightInd/>
      <w:spacing w:line="288" w:lineRule="auto"/>
      <w:ind w:firstLine="425" w:firstLineChars="200"/>
    </w:pPr>
  </w:style>
  <w:style w:type="paragraph" w:customStyle="1" w:styleId="808">
    <w:name w:val="列表内容"/>
    <w:basedOn w:val="1"/>
    <w:next w:val="1"/>
    <w:autoRedefine/>
    <w:qFormat/>
    <w:uiPriority w:val="0"/>
    <w:pPr>
      <w:widowControl/>
      <w:tabs>
        <w:tab w:val="left" w:pos="840"/>
      </w:tabs>
      <w:ind w:left="840" w:hanging="420"/>
      <w:jc w:val="left"/>
    </w:pPr>
    <w:rPr>
      <w:kern w:val="0"/>
      <w:sz w:val="18"/>
    </w:rPr>
  </w:style>
  <w:style w:type="paragraph" w:customStyle="1" w:styleId="809">
    <w:name w:val="Char Char11 Char Char Char1"/>
    <w:basedOn w:val="1"/>
    <w:autoRedefine/>
    <w:qFormat/>
    <w:uiPriority w:val="6"/>
    <w:pPr>
      <w:spacing w:line="360" w:lineRule="auto"/>
    </w:pPr>
    <w:rPr>
      <w:szCs w:val="20"/>
    </w:rPr>
  </w:style>
  <w:style w:type="paragraph" w:customStyle="1" w:styleId="810">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1">
    <w:name w:val="Char Char Char Char Char Char11"/>
    <w:basedOn w:val="1"/>
    <w:autoRedefine/>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2">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autoRedefine/>
    <w:qFormat/>
    <w:uiPriority w:val="0"/>
    <w:pPr>
      <w:spacing w:line="360" w:lineRule="auto"/>
    </w:pPr>
    <w:rPr>
      <w:szCs w:val="20"/>
    </w:rPr>
  </w:style>
  <w:style w:type="paragraph" w:customStyle="1" w:styleId="816">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autoRedefine/>
    <w:qFormat/>
    <w:uiPriority w:val="0"/>
    <w:rPr>
      <w:rFonts w:ascii="仿宋_GB2312" w:eastAsia="仿宋_GB2312"/>
      <w:b/>
      <w:sz w:val="32"/>
      <w:szCs w:val="32"/>
    </w:rPr>
  </w:style>
  <w:style w:type="paragraph" w:customStyle="1" w:styleId="819">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2">
    <w:name w:val="Char Char4 Char Char"/>
    <w:basedOn w:val="1"/>
    <w:autoRedefine/>
    <w:qFormat/>
    <w:uiPriority w:val="0"/>
    <w:pPr>
      <w:widowControl/>
      <w:adjustRightInd/>
      <w:spacing w:after="160" w:line="240" w:lineRule="exact"/>
      <w:jc w:val="left"/>
    </w:pPr>
  </w:style>
  <w:style w:type="paragraph" w:customStyle="1" w:styleId="823">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autoRedefine/>
    <w:qFormat/>
    <w:uiPriority w:val="0"/>
    <w:pPr>
      <w:spacing w:line="360" w:lineRule="auto"/>
    </w:pPr>
    <w:rPr>
      <w:szCs w:val="20"/>
    </w:rPr>
  </w:style>
  <w:style w:type="paragraph" w:customStyle="1" w:styleId="825">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autoRedefine/>
    <w:qFormat/>
    <w:uiPriority w:val="0"/>
    <w:pPr>
      <w:adjustRightInd/>
      <w:ind w:firstLine="200" w:firstLineChars="200"/>
    </w:pPr>
    <w:rPr>
      <w:rFonts w:ascii="Tahoma" w:hAnsi="Tahoma"/>
      <w:sz w:val="24"/>
      <w:szCs w:val="20"/>
    </w:rPr>
  </w:style>
  <w:style w:type="paragraph" w:customStyle="1" w:styleId="832">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autoRedefine/>
    <w:qFormat/>
    <w:uiPriority w:val="0"/>
    <w:pPr>
      <w:tabs>
        <w:tab w:val="left" w:pos="0"/>
      </w:tabs>
      <w:ind w:left="900" w:firstLine="0" w:firstLineChars="0"/>
    </w:pPr>
  </w:style>
  <w:style w:type="paragraph" w:customStyle="1" w:styleId="835">
    <w:name w:val="Bulleted List"/>
    <w:basedOn w:val="1"/>
    <w:autoRedefine/>
    <w:qFormat/>
    <w:uiPriority w:val="0"/>
    <w:pPr>
      <w:tabs>
        <w:tab w:val="left" w:pos="1260"/>
      </w:tabs>
      <w:adjustRightInd/>
      <w:ind w:left="1260" w:hanging="420"/>
    </w:pPr>
  </w:style>
  <w:style w:type="paragraph" w:customStyle="1" w:styleId="836">
    <w:name w:val="样式 正文文本缩进 2 + 仿宋_GB2312 黑色 行距: 1.5 倍行距"/>
    <w:basedOn w:val="38"/>
    <w:autoRedefine/>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autoRedefine/>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autoRedefine/>
    <w:qFormat/>
    <w:uiPriority w:val="0"/>
    <w:rPr>
      <w:rFonts w:ascii="Tahoma" w:hAnsi="Tahoma" w:cs="仿宋_GB2312"/>
      <w:sz w:val="24"/>
      <w:szCs w:val="20"/>
    </w:rPr>
  </w:style>
  <w:style w:type="paragraph" w:customStyle="1" w:styleId="839">
    <w:name w:val="正文1"/>
    <w:basedOn w:val="33"/>
    <w:autoRedefine/>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5"/>
    <w:autoRedefine/>
    <w:qFormat/>
    <w:uiPriority w:val="0"/>
    <w:pPr>
      <w:adjustRightInd/>
      <w:spacing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autoRedefine/>
    <w:qFormat/>
    <w:uiPriority w:val="0"/>
    <w:rPr>
      <w:rFonts w:ascii="仿宋_GB2312" w:eastAsia="仿宋_GB2312"/>
      <w:b/>
      <w:sz w:val="32"/>
      <w:szCs w:val="20"/>
    </w:rPr>
  </w:style>
  <w:style w:type="paragraph" w:customStyle="1" w:styleId="844">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autoRedefine/>
    <w:qFormat/>
    <w:uiPriority w:val="0"/>
    <w:rPr>
      <w:rFonts w:ascii="仿宋_GB2312" w:eastAsia="仿宋_GB2312"/>
      <w:b/>
      <w:sz w:val="32"/>
      <w:szCs w:val="20"/>
    </w:rPr>
  </w:style>
  <w:style w:type="paragraph" w:customStyle="1" w:styleId="846">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8">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3">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autoRedefine/>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7">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autoRedefine/>
    <w:qFormat/>
    <w:uiPriority w:val="0"/>
    <w:pPr>
      <w:widowControl/>
      <w:spacing w:after="160" w:line="240" w:lineRule="exact"/>
      <w:jc w:val="left"/>
    </w:pPr>
    <w:rPr>
      <w:rFonts w:eastAsia="仿宋_GB2312"/>
      <w:sz w:val="28"/>
    </w:rPr>
  </w:style>
  <w:style w:type="paragraph" w:customStyle="1" w:styleId="860">
    <w:name w:val="Char21"/>
    <w:basedOn w:val="1"/>
    <w:autoRedefine/>
    <w:qFormat/>
    <w:uiPriority w:val="0"/>
    <w:pPr>
      <w:adjustRightInd/>
      <w:ind w:firstLine="200" w:firstLineChars="200"/>
    </w:pPr>
    <w:rPr>
      <w:rFonts w:ascii="仿宋_GB2312" w:eastAsia="仿宋_GB2312"/>
      <w:b/>
      <w:sz w:val="32"/>
      <w:szCs w:val="32"/>
    </w:rPr>
  </w:style>
  <w:style w:type="paragraph" w:customStyle="1" w:styleId="861">
    <w:name w:val="列表段落1"/>
    <w:basedOn w:val="1"/>
    <w:autoRedefine/>
    <w:qFormat/>
    <w:uiPriority w:val="34"/>
    <w:pPr>
      <w:adjustRightInd/>
      <w:ind w:right="238" w:firstLine="420"/>
    </w:pPr>
    <w:rPr>
      <w:rFonts w:ascii="Calibri" w:hAnsi="Calibri"/>
      <w:sz w:val="24"/>
    </w:rPr>
  </w:style>
  <w:style w:type="paragraph" w:customStyle="1" w:styleId="862">
    <w:name w:val="Char Char110"/>
    <w:basedOn w:val="1"/>
    <w:autoRedefine/>
    <w:qFormat/>
    <w:uiPriority w:val="6"/>
    <w:pPr>
      <w:spacing w:line="360" w:lineRule="auto"/>
    </w:pPr>
    <w:rPr>
      <w:rFonts w:ascii="Tahoma" w:hAnsi="Tahoma"/>
      <w:sz w:val="24"/>
      <w:szCs w:val="20"/>
    </w:rPr>
  </w:style>
  <w:style w:type="paragraph" w:customStyle="1" w:styleId="863">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5">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autoRedefine/>
    <w:qFormat/>
    <w:uiPriority w:val="0"/>
    <w:rPr>
      <w:rFonts w:ascii="Tahoma" w:hAnsi="Tahoma" w:cs="仿宋_GB2312"/>
      <w:sz w:val="24"/>
      <w:szCs w:val="20"/>
    </w:rPr>
  </w:style>
  <w:style w:type="paragraph" w:customStyle="1" w:styleId="868">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5"/>
    <w:autoRedefine/>
    <w:qFormat/>
    <w:uiPriority w:val="2"/>
    <w:pPr>
      <w:tabs>
        <w:tab w:val="clear" w:pos="390"/>
        <w:tab w:val="clear" w:pos="454"/>
      </w:tabs>
      <w:ind w:left="840" w:hanging="420"/>
      <w:contextualSpacing/>
    </w:pPr>
    <w:rPr>
      <w:rFonts w:cs="宋体"/>
    </w:rPr>
  </w:style>
  <w:style w:type="paragraph" w:customStyle="1" w:styleId="871">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2">
    <w:name w:val="_Style 12"/>
    <w:basedOn w:val="18"/>
    <w:autoRedefine/>
    <w:qFormat/>
    <w:uiPriority w:val="0"/>
    <w:pPr>
      <w:snapToGrid w:val="0"/>
      <w:spacing w:line="360" w:lineRule="auto"/>
    </w:pPr>
  </w:style>
  <w:style w:type="paragraph" w:customStyle="1" w:styleId="873">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autoRedefine/>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autoRedefine/>
    <w:qFormat/>
    <w:uiPriority w:val="0"/>
    <w:pPr>
      <w:outlineLvl w:val="2"/>
    </w:pPr>
  </w:style>
  <w:style w:type="paragraph" w:customStyle="1" w:styleId="880">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autoRedefine/>
    <w:qFormat/>
    <w:uiPriority w:val="0"/>
    <w:pPr>
      <w:adjustRightInd/>
      <w:ind w:firstLine="200" w:firstLineChars="200"/>
    </w:pPr>
    <w:rPr>
      <w:rFonts w:ascii="Tahoma" w:hAnsi="Tahoma"/>
      <w:sz w:val="24"/>
      <w:szCs w:val="20"/>
    </w:rPr>
  </w:style>
  <w:style w:type="paragraph" w:customStyle="1" w:styleId="882">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3">
    <w:name w:val="MM Empty"/>
    <w:basedOn w:val="1"/>
    <w:autoRedefine/>
    <w:qFormat/>
    <w:uiPriority w:val="0"/>
    <w:pPr>
      <w:adjustRightInd/>
    </w:pPr>
  </w:style>
  <w:style w:type="paragraph" w:customStyle="1" w:styleId="884">
    <w:name w:val="Char24"/>
    <w:basedOn w:val="1"/>
    <w:autoRedefine/>
    <w:qFormat/>
    <w:uiPriority w:val="0"/>
    <w:rPr>
      <w:rFonts w:ascii="仿宋_GB2312" w:eastAsia="仿宋_GB2312"/>
      <w:b/>
      <w:sz w:val="32"/>
      <w:szCs w:val="32"/>
    </w:rPr>
  </w:style>
  <w:style w:type="paragraph" w:customStyle="1" w:styleId="885">
    <w:name w:val="正文箭头"/>
    <w:basedOn w:val="537"/>
    <w:autoRedefine/>
    <w:qFormat/>
    <w:uiPriority w:val="0"/>
  </w:style>
  <w:style w:type="paragraph" w:customStyle="1" w:styleId="886">
    <w:name w:val="U_编号2"/>
    <w:basedOn w:val="1"/>
    <w:autoRedefine/>
    <w:qFormat/>
    <w:uiPriority w:val="0"/>
    <w:pPr>
      <w:tabs>
        <w:tab w:val="left" w:pos="785"/>
      </w:tabs>
      <w:adjustRightInd/>
      <w:spacing w:beforeLines="10" w:afterLines="10" w:line="300" w:lineRule="auto"/>
    </w:pPr>
    <w:rPr>
      <w:sz w:val="24"/>
    </w:rPr>
  </w:style>
  <w:style w:type="paragraph" w:customStyle="1" w:styleId="887">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autoRedefine/>
    <w:qFormat/>
    <w:uiPriority w:val="34"/>
    <w:pPr>
      <w:adjustRightInd/>
      <w:ind w:firstLine="420" w:firstLineChars="200"/>
    </w:pPr>
    <w:rPr>
      <w:rFonts w:eastAsia="仿宋_GB2312"/>
      <w:sz w:val="28"/>
    </w:rPr>
  </w:style>
  <w:style w:type="paragraph" w:customStyle="1" w:styleId="892">
    <w:name w:val="表格 内容"/>
    <w:basedOn w:val="728"/>
    <w:autoRedefine/>
    <w:qFormat/>
    <w:uiPriority w:val="0"/>
    <w:rPr>
      <w:b w:val="0"/>
      <w:sz w:val="20"/>
    </w:rPr>
  </w:style>
  <w:style w:type="paragraph" w:customStyle="1" w:styleId="893">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7"/>
    <w:next w:val="1"/>
    <w:autoRedefine/>
    <w:qFormat/>
    <w:uiPriority w:val="0"/>
    <w:pPr>
      <w:tabs>
        <w:tab w:val="left" w:pos="1080"/>
      </w:tabs>
      <w:ind w:left="1080" w:hanging="1080"/>
    </w:pPr>
  </w:style>
  <w:style w:type="paragraph" w:customStyle="1" w:styleId="896">
    <w:name w:val="数字标题1"/>
    <w:basedOn w:val="2"/>
    <w:next w:val="1"/>
    <w:autoRedefine/>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8">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autoRedefine/>
    <w:qFormat/>
    <w:uiPriority w:val="0"/>
    <w:pPr>
      <w:widowControl/>
    </w:pPr>
    <w:rPr>
      <w:kern w:val="0"/>
      <w:sz w:val="24"/>
      <w:szCs w:val="20"/>
    </w:rPr>
  </w:style>
  <w:style w:type="paragraph" w:customStyle="1" w:styleId="904">
    <w:name w:val="Char Char113"/>
    <w:basedOn w:val="1"/>
    <w:autoRedefine/>
    <w:qFormat/>
    <w:uiPriority w:val="0"/>
    <w:pPr>
      <w:widowControl/>
      <w:spacing w:after="160" w:line="240" w:lineRule="exact"/>
      <w:jc w:val="left"/>
    </w:pPr>
    <w:rPr>
      <w:rFonts w:eastAsia="仿宋_GB2312"/>
      <w:sz w:val="28"/>
    </w:rPr>
  </w:style>
  <w:style w:type="paragraph" w:customStyle="1" w:styleId="905">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autoRedefine/>
    <w:qFormat/>
    <w:uiPriority w:val="34"/>
    <w:pPr>
      <w:adjustRightInd/>
      <w:ind w:firstLine="420" w:firstLineChars="200"/>
    </w:pPr>
    <w:rPr>
      <w:rFonts w:eastAsia="仿宋_GB2312"/>
      <w:sz w:val="28"/>
    </w:rPr>
  </w:style>
  <w:style w:type="paragraph" w:customStyle="1" w:styleId="90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autoRedefine/>
    <w:qFormat/>
    <w:uiPriority w:val="0"/>
    <w:pPr>
      <w:adjustRightInd/>
      <w:spacing w:beforeLines="50" w:line="360" w:lineRule="auto"/>
      <w:ind w:firstLine="420"/>
    </w:pPr>
    <w:rPr>
      <w:rFonts w:cs="宋体"/>
      <w:sz w:val="24"/>
      <w:szCs w:val="20"/>
    </w:rPr>
  </w:style>
  <w:style w:type="paragraph" w:customStyle="1" w:styleId="909">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autoRedefine/>
    <w:qFormat/>
    <w:uiPriority w:val="6"/>
    <w:pPr>
      <w:widowControl/>
      <w:spacing w:after="160" w:line="240" w:lineRule="exact"/>
      <w:jc w:val="left"/>
    </w:pPr>
    <w:rPr>
      <w:rFonts w:eastAsia="仿宋_GB2312"/>
      <w:sz w:val="28"/>
    </w:rPr>
  </w:style>
  <w:style w:type="paragraph" w:customStyle="1" w:styleId="913">
    <w:name w:val="正文 图"/>
    <w:basedOn w:val="442"/>
    <w:autoRedefine/>
    <w:qFormat/>
    <w:uiPriority w:val="0"/>
    <w:pPr>
      <w:adjustRightInd/>
      <w:spacing w:before="0"/>
      <w:ind w:firstLine="0"/>
      <w:jc w:val="center"/>
    </w:pPr>
    <w:rPr>
      <w:rFonts w:ascii="微软雅黑" w:hAnsi="微软雅黑"/>
    </w:rPr>
  </w:style>
  <w:style w:type="paragraph" w:customStyle="1" w:styleId="914">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autoRedefine/>
    <w:qFormat/>
    <w:uiPriority w:val="0"/>
    <w:pPr>
      <w:ind w:left="0"/>
    </w:pPr>
  </w:style>
  <w:style w:type="paragraph" w:customStyle="1" w:styleId="917">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autoRedefine/>
    <w:qFormat/>
    <w:uiPriority w:val="0"/>
    <w:pPr>
      <w:adjustRightInd/>
      <w:spacing w:line="360" w:lineRule="auto"/>
      <w:ind w:firstLine="480"/>
    </w:pPr>
    <w:rPr>
      <w:sz w:val="24"/>
    </w:rPr>
  </w:style>
  <w:style w:type="table" w:customStyle="1" w:styleId="920">
    <w:name w:val="网格型2"/>
    <w:basedOn w:val="63"/>
    <w:autoRedefine/>
    <w:qFormat/>
    <w:uiPriority w:val="39"/>
    <w:rPr>
      <w:rFonts w:ascii="DengXian" w:hAnsi="DengXian" w:eastAsia="DengXi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3"/>
    <w:autoRedefine/>
    <w:qFormat/>
    <w:uiPriority w:val="39"/>
    <w:rPr>
      <w:rFonts w:ascii="DengXian" w:hAnsi="DengXian" w:eastAsia="DengXi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3"/>
    <w:autoRedefine/>
    <w:qFormat/>
    <w:uiPriority w:val="39"/>
    <w:rPr>
      <w:rFonts w:ascii="DengXian" w:hAnsi="DengXian" w:eastAsia="DengXi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3"/>
    <w:autoRedefine/>
    <w:qFormat/>
    <w:uiPriority w:val="39"/>
    <w:rPr>
      <w:rFonts w:ascii="DengXian" w:hAnsi="DengXian" w:eastAsia="DengXi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3"/>
    <w:autoRedefine/>
    <w:qFormat/>
    <w:uiPriority w:val="39"/>
    <w:rPr>
      <w:rFonts w:ascii="DengXian" w:hAnsi="DengXian" w:eastAsia="DengXi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3"/>
    <w:autoRedefine/>
    <w:qFormat/>
    <w:uiPriority w:val="39"/>
    <w:rPr>
      <w:rFonts w:ascii="DengXian" w:hAnsi="DengXian" w:eastAsia="DengXi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autoRedefine/>
    <w:qFormat/>
    <w:uiPriority w:val="34"/>
    <w:pPr>
      <w:ind w:firstLine="420" w:firstLineChars="200"/>
    </w:pPr>
  </w:style>
  <w:style w:type="character" w:customStyle="1" w:styleId="927">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autoRedefine/>
    <w:qFormat/>
    <w:uiPriority w:val="0"/>
    <w:rPr>
      <w:rFonts w:ascii="宋体" w:eastAsia="宋体"/>
      <w:snapToGrid w:val="0"/>
      <w:color w:val="000000"/>
      <w:kern w:val="28"/>
      <w:sz w:val="28"/>
      <w:lang w:val="en-US" w:eastAsia="zh-CN" w:bidi="ar-SA"/>
    </w:rPr>
  </w:style>
  <w:style w:type="character" w:customStyle="1" w:styleId="929">
    <w:name w:val="页脚 字符1"/>
    <w:autoRedefine/>
    <w:qFormat/>
    <w:locked/>
    <w:uiPriority w:val="99"/>
    <w:rPr>
      <w:kern w:val="2"/>
      <w:sz w:val="18"/>
      <w:szCs w:val="18"/>
    </w:rPr>
  </w:style>
  <w:style w:type="character" w:customStyle="1" w:styleId="930">
    <w:name w:val="页眉 字符1"/>
    <w:autoRedefine/>
    <w:qFormat/>
    <w:uiPriority w:val="99"/>
    <w:rPr>
      <w:kern w:val="2"/>
      <w:sz w:val="18"/>
      <w:szCs w:val="18"/>
    </w:rPr>
  </w:style>
  <w:style w:type="character" w:customStyle="1" w:styleId="931">
    <w:name w:val="尾注文本 Char"/>
    <w:link w:val="39"/>
    <w:autoRedefine/>
    <w:qFormat/>
    <w:uiPriority w:val="0"/>
    <w:rPr>
      <w:kern w:val="2"/>
      <w:sz w:val="21"/>
      <w:szCs w:val="24"/>
      <w:lang w:val="zh-CN"/>
    </w:rPr>
  </w:style>
  <w:style w:type="character" w:customStyle="1" w:styleId="932">
    <w:name w:val="无间隔 Char"/>
    <w:link w:val="482"/>
    <w:autoRedefine/>
    <w:qFormat/>
    <w:uiPriority w:val="99"/>
    <w:rPr>
      <w:kern w:val="2"/>
      <w:sz w:val="21"/>
      <w:szCs w:val="22"/>
    </w:rPr>
  </w:style>
  <w:style w:type="character" w:customStyle="1" w:styleId="933">
    <w:name w:val="标准文本 Char Char"/>
    <w:link w:val="934"/>
    <w:autoRedefine/>
    <w:qFormat/>
    <w:uiPriority w:val="0"/>
    <w:rPr>
      <w:rFonts w:cs="宋体"/>
      <w:kern w:val="2"/>
      <w:sz w:val="24"/>
    </w:rPr>
  </w:style>
  <w:style w:type="paragraph" w:customStyle="1" w:styleId="934">
    <w:name w:val="标准文本"/>
    <w:basedOn w:val="1"/>
    <w:link w:val="933"/>
    <w:autoRedefine/>
    <w:qFormat/>
    <w:uiPriority w:val="0"/>
    <w:pPr>
      <w:adjustRightInd/>
      <w:spacing w:line="360" w:lineRule="auto"/>
      <w:ind w:firstLine="480" w:firstLineChars="200"/>
    </w:pPr>
    <w:rPr>
      <w:rFonts w:cs="宋体"/>
      <w:sz w:val="24"/>
      <w:szCs w:val="20"/>
    </w:rPr>
  </w:style>
  <w:style w:type="character" w:customStyle="1" w:styleId="935">
    <w:name w:val="Char Char213"/>
    <w:autoRedefine/>
    <w:qFormat/>
    <w:uiPriority w:val="0"/>
    <w:rPr>
      <w:rFonts w:eastAsia="Century Gothic"/>
      <w:b/>
      <w:bCs/>
      <w:kern w:val="44"/>
      <w:sz w:val="32"/>
      <w:szCs w:val="44"/>
      <w:lang w:val="en-US" w:eastAsia="zh-CN" w:bidi="ar-SA"/>
    </w:rPr>
  </w:style>
  <w:style w:type="character" w:customStyle="1" w:styleId="936">
    <w:name w:val="apple-style-span"/>
    <w:autoRedefine/>
    <w:qFormat/>
    <w:uiPriority w:val="0"/>
    <w:rPr>
      <w:rFonts w:ascii="Arial" w:hAnsi="Arial" w:eastAsia="黑体" w:cs="Arial"/>
      <w:snapToGrid w:val="0"/>
      <w:kern w:val="0"/>
      <w:szCs w:val="21"/>
    </w:rPr>
  </w:style>
  <w:style w:type="character" w:customStyle="1" w:styleId="937">
    <w:name w:val="15"/>
    <w:autoRedefine/>
    <w:qFormat/>
    <w:uiPriority w:val="0"/>
    <w:rPr>
      <w:rFonts w:hint="default" w:ascii="Calibri" w:hAnsi="Calibri"/>
      <w:color w:val="0000FF"/>
      <w:u w:val="single"/>
    </w:rPr>
  </w:style>
  <w:style w:type="character" w:customStyle="1" w:styleId="938">
    <w:name w:val="16"/>
    <w:autoRedefine/>
    <w:qFormat/>
    <w:uiPriority w:val="0"/>
    <w:rPr>
      <w:rFonts w:hint="eastAsia" w:ascii="宋体" w:hAnsi="宋体" w:eastAsia="宋体"/>
      <w:color w:val="000000"/>
      <w:sz w:val="20"/>
      <w:szCs w:val="20"/>
    </w:rPr>
  </w:style>
  <w:style w:type="character" w:customStyle="1" w:styleId="939">
    <w:name w:val="edui-unclickable"/>
    <w:autoRedefine/>
    <w:qFormat/>
    <w:uiPriority w:val="0"/>
    <w:rPr>
      <w:color w:val="808080"/>
    </w:rPr>
  </w:style>
  <w:style w:type="character" w:customStyle="1" w:styleId="940">
    <w:name w:val="tpc_content1"/>
    <w:autoRedefine/>
    <w:qFormat/>
    <w:uiPriority w:val="0"/>
    <w:rPr>
      <w:sz w:val="20"/>
      <w:szCs w:val="20"/>
    </w:rPr>
  </w:style>
  <w:style w:type="character" w:customStyle="1" w:styleId="941">
    <w:name w:val="正文文本缩进 字符"/>
    <w:autoRedefine/>
    <w:qFormat/>
    <w:uiPriority w:val="0"/>
    <w:rPr>
      <w:rFonts w:ascii="Century Gothic" w:hAnsi="Century Gothic" w:eastAsia="Century Gothic"/>
      <w:kern w:val="2"/>
      <w:sz w:val="24"/>
      <w:lang w:val="en-US" w:eastAsia="zh-CN" w:bidi="ar-SA"/>
    </w:rPr>
  </w:style>
  <w:style w:type="character" w:customStyle="1" w:styleId="942">
    <w:name w:val="正文文本 2 字符"/>
    <w:autoRedefine/>
    <w:qFormat/>
    <w:uiPriority w:val="0"/>
    <w:rPr>
      <w:rFonts w:ascii="Arial" w:hAnsi="Arial" w:eastAsia="宋体"/>
      <w:kern w:val="2"/>
      <w:sz w:val="24"/>
      <w:szCs w:val="24"/>
      <w:lang w:val="en-US" w:eastAsia="zh-CN" w:bidi="ar-SA"/>
    </w:rPr>
  </w:style>
  <w:style w:type="character" w:customStyle="1" w:styleId="943">
    <w:name w:val="edui-clickable2"/>
    <w:autoRedefine/>
    <w:qFormat/>
    <w:uiPriority w:val="0"/>
    <w:rPr>
      <w:color w:val="0000FF"/>
      <w:u w:val="single"/>
    </w:rPr>
  </w:style>
  <w:style w:type="character" w:customStyle="1" w:styleId="944">
    <w:name w:val="style1"/>
    <w:autoRedefine/>
    <w:qFormat/>
    <w:uiPriority w:val="0"/>
    <w:rPr>
      <w:rFonts w:ascii="Arial" w:hAnsi="Arial" w:eastAsia="黑体" w:cs="Arial"/>
      <w:snapToGrid w:val="0"/>
      <w:kern w:val="0"/>
      <w:szCs w:val="21"/>
    </w:rPr>
  </w:style>
  <w:style w:type="character" w:customStyle="1" w:styleId="945">
    <w:name w:val="zbggtop11 style5"/>
    <w:autoRedefine/>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7">
    <w:name w:val="bulletintext1"/>
    <w:autoRedefine/>
    <w:qFormat/>
    <w:uiPriority w:val="0"/>
    <w:rPr>
      <w:color w:val="000000"/>
      <w:sz w:val="18"/>
    </w:rPr>
  </w:style>
  <w:style w:type="paragraph" w:customStyle="1" w:styleId="948">
    <w:name w:val="_Style 947"/>
    <w:basedOn w:val="1"/>
    <w:next w:val="257"/>
    <w:autoRedefine/>
    <w:qFormat/>
    <w:uiPriority w:val="34"/>
    <w:pPr>
      <w:adjustRightInd/>
      <w:ind w:firstLine="420" w:firstLineChars="200"/>
    </w:pPr>
  </w:style>
  <w:style w:type="paragraph" w:customStyle="1" w:styleId="949">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1">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5">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autoRedefine/>
    <w:qFormat/>
    <w:uiPriority w:val="0"/>
    <w:pPr>
      <w:adjustRightInd/>
      <w:jc w:val="left"/>
    </w:pPr>
    <w:rPr>
      <w:rFonts w:ascii="Calibri" w:hAnsi="Calibri"/>
      <w:kern w:val="0"/>
      <w:sz w:val="22"/>
      <w:szCs w:val="22"/>
      <w:lang w:eastAsia="en-US"/>
    </w:rPr>
  </w:style>
  <w:style w:type="paragraph" w:customStyle="1" w:styleId="957">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0"/>
    <w:autoRedefine/>
    <w:qFormat/>
    <w:uiPriority w:val="0"/>
    <w:rPr>
      <w:color w:val="000000"/>
      <w:shd w:val="clear" w:color="auto" w:fill="EFD200"/>
    </w:rPr>
  </w:style>
  <w:style w:type="character" w:customStyle="1" w:styleId="961">
    <w:name w:val="font71"/>
    <w:autoRedefine/>
    <w:qFormat/>
    <w:uiPriority w:val="0"/>
    <w:rPr>
      <w:rFonts w:hint="eastAsia" w:ascii="宋体" w:hAnsi="宋体" w:eastAsia="宋体" w:cs="宋体"/>
      <w:color w:val="000000"/>
      <w:sz w:val="22"/>
      <w:szCs w:val="22"/>
      <w:u w:val="none"/>
    </w:rPr>
  </w:style>
  <w:style w:type="character" w:customStyle="1" w:styleId="962">
    <w:name w:val="font91"/>
    <w:autoRedefine/>
    <w:qFormat/>
    <w:uiPriority w:val="0"/>
    <w:rPr>
      <w:rFonts w:hint="eastAsia" w:ascii="仿宋" w:hAnsi="仿宋" w:eastAsia="仿宋" w:cs="仿宋"/>
      <w:color w:val="000000"/>
      <w:sz w:val="22"/>
      <w:szCs w:val="22"/>
      <w:u w:val="none"/>
    </w:rPr>
  </w:style>
  <w:style w:type="paragraph" w:customStyle="1" w:styleId="963">
    <w:name w:val="修订4"/>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964">
    <w:name w:val="未处理的提及2"/>
    <w:basedOn w:val="70"/>
    <w:autoRedefine/>
    <w:semiHidden/>
    <w:unhideWhenUsed/>
    <w:qFormat/>
    <w:uiPriority w:val="99"/>
    <w:rPr>
      <w:color w:val="605E5C"/>
      <w:shd w:val="clear" w:color="auto" w:fill="E1DFDD"/>
    </w:rPr>
  </w:style>
  <w:style w:type="character" w:customStyle="1" w:styleId="965">
    <w:name w:val="无"/>
    <w:qFormat/>
    <w:uiPriority w:val="99"/>
    <w:rPr>
      <w:rFonts w:ascii="Calibri" w:hAnsi="Calibri" w:eastAsia="宋体"/>
    </w:rPr>
  </w:style>
  <w:style w:type="character" w:customStyle="1" w:styleId="966">
    <w:name w:val="Hyperlink.0"/>
    <w:qFormat/>
    <w:uiPriority w:val="99"/>
    <w:rPr>
      <w:rFonts w:ascii="宋体" w:hAnsi="宋体" w:eastAsia="宋体"/>
      <w:sz w:val="24"/>
      <w:lang w:val="en-US"/>
    </w:rPr>
  </w:style>
  <w:style w:type="paragraph" w:customStyle="1" w:styleId="967">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96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70</Pages>
  <Words>34488</Words>
  <Characters>38897</Characters>
  <Lines>303</Lines>
  <Paragraphs>85</Paragraphs>
  <TotalTime>75</TotalTime>
  <ScaleCrop>false</ScaleCrop>
  <LinksUpToDate>false</LinksUpToDate>
  <CharactersWithSpaces>40469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2024-06-24T02:29:00Z</dcterms:created>
  <dc:creator>玥</dc:creator>
  <cp:lastModifiedBy>Administrator</cp:lastModifiedBy>
  <cp:lastPrinted>2021-12-27T11:06:00Z</cp:lastPrinted>
  <dcterms:modified xsi:type="dcterms:W3CDTF">2024-06-28T07:09:09Z</dcterms:modified>
  <dc:title>杭州市市民卡扩大发卡工程</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7349ED21C7F64213B7C6D1EB39B9F14D_13</vt:lpwstr>
  </property>
</Properties>
</file>